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EF3F1" w14:textId="7F7F9AC0" w:rsidR="00DD634F" w:rsidRPr="009D6C41" w:rsidRDefault="009D6C41" w:rsidP="00DD634F">
      <w:pPr>
        <w:widowControl w:val="0"/>
        <w:autoSpaceDE w:val="0"/>
        <w:autoSpaceDN w:val="0"/>
        <w:spacing w:before="93" w:after="0" w:line="276" w:lineRule="auto"/>
        <w:jc w:val="both"/>
        <w:outlineLvl w:val="0"/>
        <w:rPr>
          <w:rFonts w:ascii="Arial" w:eastAsia="Arial" w:hAnsi="Arial" w:cs="Arial"/>
          <w:b/>
          <w:bCs/>
          <w:color w:val="313D4F"/>
          <w:spacing w:val="-2"/>
          <w:kern w:val="0"/>
          <w:sz w:val="20"/>
          <w:szCs w:val="20"/>
          <w:lang w:val="en-GB"/>
          <w14:ligatures w14:val="none"/>
        </w:rPr>
      </w:pPr>
      <w:r w:rsidRPr="009D6C41">
        <w:rPr>
          <w:rFonts w:ascii="Arial" w:eastAsia="Arial" w:hAnsi="Arial" w:cs="Arial"/>
          <w:b/>
          <w:bCs/>
          <w:color w:val="313D4F"/>
          <w:kern w:val="0"/>
          <w:sz w:val="20"/>
          <w:szCs w:val="20"/>
          <w:lang w:val="en-GB"/>
          <w14:ligatures w14:val="none"/>
        </w:rPr>
        <w:t>Ineligible activities</w:t>
      </w:r>
      <w:r w:rsidR="00DD634F" w:rsidRPr="009D6C41">
        <w:rPr>
          <w:rFonts w:ascii="Arial" w:eastAsia="Arial" w:hAnsi="Arial" w:cs="Arial"/>
          <w:b/>
          <w:bCs/>
          <w:color w:val="313D4F"/>
          <w:spacing w:val="-2"/>
          <w:kern w:val="0"/>
          <w:sz w:val="20"/>
          <w:szCs w:val="20"/>
          <w:lang w:val="en-GB"/>
          <w14:ligatures w14:val="none"/>
        </w:rPr>
        <w:t xml:space="preserve"> </w:t>
      </w:r>
      <w:r w:rsidR="00EC3EB4" w:rsidRPr="009D6C41">
        <w:rPr>
          <w:rFonts w:ascii="Arial" w:eastAsia="Arial" w:hAnsi="Arial" w:cs="Arial"/>
          <w:b/>
          <w:bCs/>
          <w:color w:val="313D4F"/>
          <w:spacing w:val="-2"/>
          <w:kern w:val="0"/>
          <w:sz w:val="20"/>
          <w:szCs w:val="20"/>
          <w:lang w:val="en-GB"/>
          <w14:ligatures w14:val="none"/>
        </w:rPr>
        <w:t xml:space="preserve">(exclusion </w:t>
      </w:r>
      <w:r w:rsidRPr="009D6C41">
        <w:rPr>
          <w:rFonts w:ascii="Arial" w:eastAsia="Arial" w:hAnsi="Arial" w:cs="Arial"/>
          <w:b/>
          <w:bCs/>
          <w:color w:val="313D4F"/>
          <w:spacing w:val="-2"/>
          <w:kern w:val="0"/>
          <w:sz w:val="20"/>
          <w:szCs w:val="20"/>
          <w:lang w:val="en-GB"/>
          <w14:ligatures w14:val="none"/>
        </w:rPr>
        <w:t>list</w:t>
      </w:r>
      <w:r w:rsidR="00EC3EB4" w:rsidRPr="009D6C41">
        <w:rPr>
          <w:rFonts w:ascii="Arial" w:eastAsia="Arial" w:hAnsi="Arial" w:cs="Arial"/>
          <w:b/>
          <w:bCs/>
          <w:color w:val="313D4F"/>
          <w:spacing w:val="-2"/>
          <w:kern w:val="0"/>
          <w:sz w:val="20"/>
          <w:szCs w:val="20"/>
          <w:lang w:val="en-GB"/>
          <w14:ligatures w14:val="none"/>
        </w:rPr>
        <w:t>)</w:t>
      </w:r>
    </w:p>
    <w:p w14:paraId="596D87A2" w14:textId="77777777" w:rsidR="004612D9" w:rsidRPr="009D6C41" w:rsidRDefault="004612D9" w:rsidP="004612D9">
      <w:pPr>
        <w:widowControl w:val="0"/>
        <w:tabs>
          <w:tab w:val="left" w:pos="879"/>
          <w:tab w:val="left" w:pos="880"/>
        </w:tabs>
        <w:autoSpaceDE w:val="0"/>
        <w:autoSpaceDN w:val="0"/>
        <w:spacing w:before="1" w:after="0" w:line="276" w:lineRule="auto"/>
        <w:jc w:val="both"/>
        <w:rPr>
          <w:rFonts w:ascii="Arial" w:hAnsi="Arial" w:cs="Arial"/>
          <w:b/>
          <w:bCs/>
          <w:sz w:val="20"/>
          <w:szCs w:val="20"/>
          <w:lang w:val="en-GB"/>
        </w:rPr>
      </w:pPr>
    </w:p>
    <w:p w14:paraId="6B8F4342" w14:textId="1F6FB8BA" w:rsidR="00213F80" w:rsidRPr="009D6C41" w:rsidRDefault="003775AE" w:rsidP="00F22E73">
      <w:pPr>
        <w:pStyle w:val="ListParagraph"/>
        <w:numPr>
          <w:ilvl w:val="0"/>
          <w:numId w:val="29"/>
        </w:numPr>
        <w:spacing w:after="0" w:line="276" w:lineRule="auto"/>
        <w:contextualSpacing w:val="0"/>
        <w:jc w:val="both"/>
        <w:rPr>
          <w:rFonts w:ascii="Arial" w:hAnsi="Arial" w:cs="Arial"/>
          <w:sz w:val="20"/>
          <w:szCs w:val="20"/>
          <w:lang w:val="en-GB"/>
        </w:rPr>
      </w:pPr>
      <w:r>
        <w:rPr>
          <w:rFonts w:ascii="Arial" w:hAnsi="Arial" w:cs="Arial"/>
          <w:sz w:val="20"/>
          <w:szCs w:val="20"/>
          <w:lang w:val="en-GB"/>
        </w:rPr>
        <w:t>Activities and facilities related to fossil fuels</w:t>
      </w:r>
      <w:r w:rsidR="00213F80" w:rsidRPr="009D6C41">
        <w:rPr>
          <w:rFonts w:ascii="Arial" w:hAnsi="Arial" w:cs="Arial"/>
          <w:sz w:val="20"/>
          <w:szCs w:val="20"/>
          <w:lang w:val="en-GB"/>
        </w:rPr>
        <w:t xml:space="preserve">, </w:t>
      </w:r>
      <w:r w:rsidR="0048620E">
        <w:rPr>
          <w:rFonts w:ascii="Arial" w:hAnsi="Arial" w:cs="Arial"/>
          <w:sz w:val="20"/>
          <w:szCs w:val="20"/>
          <w:lang w:val="en-GB"/>
        </w:rPr>
        <w:t>including further use</w:t>
      </w:r>
      <w:r w:rsidR="00213F80" w:rsidRPr="009D6C41">
        <w:rPr>
          <w:rStyle w:val="FootnoteReference"/>
          <w:rFonts w:ascii="Arial" w:hAnsi="Arial" w:cs="Arial"/>
          <w:sz w:val="20"/>
          <w:szCs w:val="20"/>
          <w:lang w:val="en-GB"/>
        </w:rPr>
        <w:footnoteReference w:id="1"/>
      </w:r>
      <w:r w:rsidR="008D1B64" w:rsidRPr="009D6C41">
        <w:rPr>
          <w:rFonts w:ascii="Arial" w:hAnsi="Arial" w:cs="Arial"/>
          <w:sz w:val="20"/>
          <w:szCs w:val="20"/>
          <w:lang w:val="en-GB"/>
        </w:rPr>
        <w:t>;</w:t>
      </w:r>
    </w:p>
    <w:p w14:paraId="721429A5" w14:textId="63C4B40E" w:rsidR="00213F80" w:rsidRPr="009D6C41" w:rsidRDefault="00406A9A" w:rsidP="00F22E73">
      <w:pPr>
        <w:pStyle w:val="ListParagraph"/>
        <w:numPr>
          <w:ilvl w:val="0"/>
          <w:numId w:val="29"/>
        </w:numPr>
        <w:spacing w:after="0" w:line="276" w:lineRule="auto"/>
        <w:contextualSpacing w:val="0"/>
        <w:jc w:val="both"/>
        <w:rPr>
          <w:rFonts w:ascii="Arial" w:hAnsi="Arial" w:cs="Arial"/>
          <w:sz w:val="20"/>
          <w:szCs w:val="20"/>
          <w:lang w:val="en-GB"/>
        </w:rPr>
      </w:pPr>
      <w:r>
        <w:rPr>
          <w:rFonts w:ascii="Arial" w:hAnsi="Arial" w:cs="Arial"/>
          <w:sz w:val="20"/>
          <w:szCs w:val="20"/>
          <w:lang w:val="en-GB"/>
        </w:rPr>
        <w:t xml:space="preserve">Activities and facilities </w:t>
      </w:r>
      <w:r w:rsidR="0010605F">
        <w:rPr>
          <w:rFonts w:ascii="Arial" w:hAnsi="Arial" w:cs="Arial"/>
          <w:sz w:val="20"/>
          <w:szCs w:val="20"/>
          <w:lang w:val="en-GB"/>
        </w:rPr>
        <w:t>under the EU emission Trading System</w:t>
      </w:r>
      <w:r w:rsidR="00213F80" w:rsidRPr="009D6C41">
        <w:rPr>
          <w:rFonts w:ascii="Arial" w:hAnsi="Arial" w:cs="Arial"/>
          <w:sz w:val="20"/>
          <w:szCs w:val="20"/>
          <w:lang w:val="en-GB"/>
        </w:rPr>
        <w:t xml:space="preserve"> (ETS)</w:t>
      </w:r>
      <w:r w:rsidR="00B01F45" w:rsidRPr="00B01F45">
        <w:rPr>
          <w:rFonts w:ascii="Arial" w:hAnsi="Arial" w:cs="Arial"/>
          <w:sz w:val="20"/>
          <w:szCs w:val="20"/>
          <w:lang w:val="en-GB"/>
        </w:rPr>
        <w:t xml:space="preserve"> that achieve projected greenhouse gas emissions that are not lower than the relevant </w:t>
      </w:r>
      <w:r w:rsidR="000559C6">
        <w:rPr>
          <w:rFonts w:ascii="Arial" w:hAnsi="Arial" w:cs="Arial"/>
          <w:sz w:val="20"/>
          <w:szCs w:val="20"/>
          <w:lang w:val="en-GB"/>
        </w:rPr>
        <w:t>benchmarks</w:t>
      </w:r>
      <w:r w:rsidR="00213F80" w:rsidRPr="009D6C41">
        <w:rPr>
          <w:rStyle w:val="FootnoteReference"/>
          <w:rFonts w:ascii="Arial" w:hAnsi="Arial" w:cs="Arial"/>
          <w:sz w:val="20"/>
          <w:szCs w:val="20"/>
          <w:lang w:val="en-GB"/>
        </w:rPr>
        <w:footnoteReference w:id="2"/>
      </w:r>
      <w:r w:rsidR="008D1B64" w:rsidRPr="009D6C41">
        <w:rPr>
          <w:rFonts w:ascii="Arial" w:hAnsi="Arial" w:cs="Arial"/>
          <w:sz w:val="20"/>
          <w:szCs w:val="20"/>
          <w:lang w:val="en-GB"/>
        </w:rPr>
        <w:t>;</w:t>
      </w:r>
    </w:p>
    <w:p w14:paraId="0A8E83B9" w14:textId="115E87F2" w:rsidR="00213F80" w:rsidRPr="009D6C41" w:rsidRDefault="00F03787" w:rsidP="00F22E73">
      <w:pPr>
        <w:pStyle w:val="ListParagraph"/>
        <w:numPr>
          <w:ilvl w:val="0"/>
          <w:numId w:val="29"/>
        </w:numPr>
        <w:spacing w:after="0" w:line="276" w:lineRule="auto"/>
        <w:contextualSpacing w:val="0"/>
        <w:jc w:val="both"/>
        <w:rPr>
          <w:rFonts w:ascii="Arial" w:hAnsi="Arial" w:cs="Arial"/>
          <w:sz w:val="20"/>
          <w:szCs w:val="20"/>
          <w:lang w:val="en-GB"/>
        </w:rPr>
      </w:pPr>
      <w:r>
        <w:rPr>
          <w:rFonts w:ascii="Arial" w:hAnsi="Arial" w:cs="Arial"/>
          <w:sz w:val="20"/>
          <w:szCs w:val="20"/>
          <w:lang w:val="en-GB"/>
        </w:rPr>
        <w:t>Activities and facilities</w:t>
      </w:r>
      <w:r w:rsidR="00213F80" w:rsidRPr="009D6C41">
        <w:rPr>
          <w:rFonts w:ascii="Arial" w:hAnsi="Arial" w:cs="Arial"/>
          <w:sz w:val="20"/>
          <w:szCs w:val="20"/>
          <w:lang w:val="en-GB"/>
        </w:rPr>
        <w:t xml:space="preserve"> </w:t>
      </w:r>
      <w:r w:rsidR="00CD2305">
        <w:rPr>
          <w:rFonts w:ascii="Arial" w:hAnsi="Arial" w:cs="Arial"/>
          <w:sz w:val="20"/>
          <w:szCs w:val="20"/>
          <w:lang w:val="en-GB"/>
        </w:rPr>
        <w:t>related to the disposal of waste</w:t>
      </w:r>
      <w:r w:rsidR="00213F80" w:rsidRPr="009D6C41">
        <w:rPr>
          <w:rFonts w:ascii="Arial" w:hAnsi="Arial" w:cs="Arial"/>
          <w:sz w:val="20"/>
          <w:szCs w:val="20"/>
          <w:lang w:val="en-GB"/>
        </w:rPr>
        <w:t xml:space="preserve"> </w:t>
      </w:r>
      <w:r w:rsidR="00CD2305">
        <w:rPr>
          <w:rFonts w:ascii="Arial" w:hAnsi="Arial" w:cs="Arial"/>
          <w:sz w:val="20"/>
          <w:szCs w:val="20"/>
          <w:lang w:val="en-GB"/>
        </w:rPr>
        <w:t>to landfill facilities</w:t>
      </w:r>
      <w:r w:rsidR="00213F80" w:rsidRPr="009D6C41">
        <w:rPr>
          <w:rFonts w:ascii="Arial" w:hAnsi="Arial" w:cs="Arial"/>
          <w:sz w:val="20"/>
          <w:szCs w:val="20"/>
          <w:lang w:val="en-GB"/>
        </w:rPr>
        <w:t xml:space="preserve">, </w:t>
      </w:r>
      <w:r w:rsidR="000A5AA6">
        <w:rPr>
          <w:rFonts w:ascii="Arial" w:hAnsi="Arial" w:cs="Arial"/>
          <w:sz w:val="20"/>
          <w:szCs w:val="20"/>
          <w:lang w:val="en-GB"/>
        </w:rPr>
        <w:t>incinerators</w:t>
      </w:r>
      <w:r w:rsidR="00213F80" w:rsidRPr="009D6C41">
        <w:rPr>
          <w:rStyle w:val="FootnoteReference"/>
          <w:rFonts w:ascii="Arial" w:hAnsi="Arial" w:cs="Arial"/>
          <w:sz w:val="20"/>
          <w:szCs w:val="20"/>
          <w:lang w:val="en-GB"/>
        </w:rPr>
        <w:footnoteReference w:id="3"/>
      </w:r>
      <w:r w:rsidR="00213F80" w:rsidRPr="009D6C41">
        <w:rPr>
          <w:rFonts w:ascii="Arial" w:hAnsi="Arial" w:cs="Arial"/>
          <w:sz w:val="20"/>
          <w:szCs w:val="20"/>
          <w:lang w:val="en-GB"/>
        </w:rPr>
        <w:t xml:space="preserve"> </w:t>
      </w:r>
      <w:r w:rsidR="000A5AA6">
        <w:rPr>
          <w:rFonts w:ascii="Arial" w:hAnsi="Arial" w:cs="Arial"/>
          <w:sz w:val="20"/>
          <w:szCs w:val="20"/>
          <w:lang w:val="en-GB"/>
        </w:rPr>
        <w:t>and mechanical biological treatment</w:t>
      </w:r>
      <w:r w:rsidR="00213F80" w:rsidRPr="009D6C41">
        <w:rPr>
          <w:rFonts w:ascii="Arial" w:hAnsi="Arial" w:cs="Arial"/>
          <w:sz w:val="20"/>
          <w:szCs w:val="20"/>
          <w:lang w:val="en-GB"/>
        </w:rPr>
        <w:t xml:space="preserve"> </w:t>
      </w:r>
      <w:r w:rsidR="002C0E81">
        <w:rPr>
          <w:rFonts w:ascii="Arial" w:hAnsi="Arial" w:cs="Arial"/>
          <w:sz w:val="20"/>
          <w:szCs w:val="20"/>
          <w:lang w:val="en-GB"/>
        </w:rPr>
        <w:t>plants</w:t>
      </w:r>
      <w:r w:rsidR="00213F80" w:rsidRPr="009D6C41">
        <w:rPr>
          <w:rStyle w:val="FootnoteReference"/>
          <w:rFonts w:ascii="Arial" w:hAnsi="Arial" w:cs="Arial"/>
          <w:sz w:val="20"/>
          <w:szCs w:val="20"/>
          <w:lang w:val="en-GB"/>
        </w:rPr>
        <w:footnoteReference w:id="4"/>
      </w:r>
      <w:r w:rsidR="008D1B64" w:rsidRPr="009D6C41">
        <w:rPr>
          <w:rFonts w:ascii="Arial" w:hAnsi="Arial" w:cs="Arial"/>
          <w:sz w:val="20"/>
          <w:szCs w:val="20"/>
          <w:lang w:val="en-GB"/>
        </w:rPr>
        <w:t>;</w:t>
      </w:r>
    </w:p>
    <w:p w14:paraId="182D35CB" w14:textId="297E884D" w:rsidR="00AB01C6" w:rsidRPr="009D6C41" w:rsidRDefault="00AC27EA" w:rsidP="00213F80">
      <w:pPr>
        <w:pStyle w:val="ListParagraph"/>
        <w:numPr>
          <w:ilvl w:val="0"/>
          <w:numId w:val="29"/>
        </w:numPr>
        <w:spacing w:after="0" w:line="276" w:lineRule="auto"/>
        <w:contextualSpacing w:val="0"/>
        <w:jc w:val="both"/>
        <w:rPr>
          <w:rFonts w:ascii="Arial" w:hAnsi="Arial" w:cs="Arial"/>
          <w:sz w:val="20"/>
          <w:szCs w:val="20"/>
          <w:lang w:val="en-GB"/>
        </w:rPr>
      </w:pPr>
      <w:r>
        <w:rPr>
          <w:rFonts w:ascii="Arial" w:hAnsi="Arial" w:cs="Arial"/>
          <w:sz w:val="20"/>
          <w:szCs w:val="20"/>
          <w:lang w:val="en-GB"/>
        </w:rPr>
        <w:t xml:space="preserve">In the case of general support to </w:t>
      </w:r>
      <w:r w:rsidR="00611C2E">
        <w:rPr>
          <w:rFonts w:ascii="Arial" w:hAnsi="Arial" w:cs="Arial"/>
          <w:sz w:val="20"/>
          <w:szCs w:val="20"/>
          <w:lang w:val="en-GB"/>
        </w:rPr>
        <w:t>companies</w:t>
      </w:r>
      <w:r w:rsidR="00213F80" w:rsidRPr="009D6C41">
        <w:rPr>
          <w:rFonts w:ascii="Arial" w:hAnsi="Arial" w:cs="Arial"/>
          <w:sz w:val="20"/>
          <w:szCs w:val="20"/>
          <w:lang w:val="en-GB"/>
        </w:rPr>
        <w:t xml:space="preserve"> (</w:t>
      </w:r>
      <w:r w:rsidR="00611C2E">
        <w:rPr>
          <w:rFonts w:ascii="Arial" w:hAnsi="Arial" w:cs="Arial"/>
          <w:sz w:val="20"/>
          <w:szCs w:val="20"/>
          <w:lang w:val="en-GB"/>
        </w:rPr>
        <w:t>general purpose financing</w:t>
      </w:r>
      <w:r w:rsidR="00213F80" w:rsidRPr="009D6C41">
        <w:rPr>
          <w:rFonts w:ascii="Arial" w:hAnsi="Arial" w:cs="Arial"/>
          <w:sz w:val="20"/>
          <w:szCs w:val="20"/>
          <w:lang w:val="en-GB"/>
        </w:rPr>
        <w:t xml:space="preserve">), </w:t>
      </w:r>
      <w:r w:rsidR="00611C2E">
        <w:rPr>
          <w:rFonts w:ascii="Arial" w:hAnsi="Arial" w:cs="Arial"/>
          <w:sz w:val="20"/>
          <w:szCs w:val="20"/>
          <w:lang w:val="en-GB"/>
        </w:rPr>
        <w:t>investments by companies</w:t>
      </w:r>
      <w:r w:rsidR="00213F80" w:rsidRPr="009D6C41">
        <w:rPr>
          <w:rFonts w:ascii="Arial" w:hAnsi="Arial" w:cs="Arial"/>
          <w:sz w:val="20"/>
          <w:szCs w:val="20"/>
          <w:lang w:val="en-GB"/>
        </w:rPr>
        <w:t xml:space="preserve"> </w:t>
      </w:r>
      <w:r w:rsidR="00016B6B">
        <w:rPr>
          <w:rFonts w:ascii="Arial" w:hAnsi="Arial" w:cs="Arial"/>
          <w:sz w:val="20"/>
          <w:szCs w:val="20"/>
          <w:lang w:val="en-GB"/>
        </w:rPr>
        <w:t xml:space="preserve">with a </w:t>
      </w:r>
      <w:r w:rsidR="005B56FA">
        <w:rPr>
          <w:rFonts w:ascii="Arial" w:hAnsi="Arial" w:cs="Arial"/>
          <w:sz w:val="20"/>
          <w:szCs w:val="20"/>
          <w:lang w:val="en-GB"/>
        </w:rPr>
        <w:t>substantial</w:t>
      </w:r>
      <w:r w:rsidR="00016B6B">
        <w:rPr>
          <w:rFonts w:ascii="Arial" w:hAnsi="Arial" w:cs="Arial"/>
          <w:sz w:val="20"/>
          <w:szCs w:val="20"/>
          <w:lang w:val="en-GB"/>
        </w:rPr>
        <w:t xml:space="preserve"> focus</w:t>
      </w:r>
      <w:r w:rsidR="00213F80" w:rsidRPr="009D6C41">
        <w:rPr>
          <w:rStyle w:val="FootnoteReference"/>
          <w:rFonts w:ascii="Arial" w:hAnsi="Arial" w:cs="Arial"/>
          <w:sz w:val="20"/>
          <w:szCs w:val="20"/>
          <w:lang w:val="en-GB"/>
        </w:rPr>
        <w:footnoteReference w:id="5"/>
      </w:r>
      <w:r w:rsidR="00213F80" w:rsidRPr="009D6C41">
        <w:rPr>
          <w:rFonts w:ascii="Arial" w:hAnsi="Arial" w:cs="Arial"/>
          <w:b/>
          <w:bCs/>
          <w:sz w:val="20"/>
          <w:szCs w:val="20"/>
          <w:lang w:val="en-GB"/>
        </w:rPr>
        <w:t xml:space="preserve"> </w:t>
      </w:r>
      <w:r w:rsidR="00A539DC">
        <w:rPr>
          <w:rFonts w:ascii="Arial" w:hAnsi="Arial" w:cs="Arial"/>
          <w:sz w:val="20"/>
          <w:szCs w:val="20"/>
          <w:lang w:val="en-GB"/>
        </w:rPr>
        <w:t>i</w:t>
      </w:r>
      <w:r w:rsidR="00016B6B">
        <w:rPr>
          <w:rFonts w:ascii="Arial" w:hAnsi="Arial" w:cs="Arial"/>
          <w:sz w:val="20"/>
          <w:szCs w:val="20"/>
          <w:lang w:val="en-GB"/>
        </w:rPr>
        <w:t>n the following sectors are not eligible</w:t>
      </w:r>
      <w:r w:rsidR="00213F80" w:rsidRPr="009D6C41">
        <w:rPr>
          <w:rFonts w:ascii="Arial" w:hAnsi="Arial" w:cs="Arial"/>
          <w:sz w:val="20"/>
          <w:szCs w:val="20"/>
          <w:lang w:val="en-GB"/>
        </w:rPr>
        <w:t xml:space="preserve">: </w:t>
      </w:r>
    </w:p>
    <w:p w14:paraId="469D4084" w14:textId="06EE37CF" w:rsidR="00AB01C6" w:rsidRPr="009D6C41" w:rsidRDefault="00E30E16" w:rsidP="00062C24">
      <w:pPr>
        <w:pStyle w:val="ListParagraph"/>
        <w:numPr>
          <w:ilvl w:val="0"/>
          <w:numId w:val="32"/>
        </w:numPr>
        <w:spacing w:after="0" w:line="276" w:lineRule="auto"/>
        <w:contextualSpacing w:val="0"/>
        <w:jc w:val="both"/>
        <w:rPr>
          <w:rFonts w:ascii="Arial" w:hAnsi="Arial" w:cs="Arial"/>
          <w:sz w:val="20"/>
          <w:szCs w:val="20"/>
          <w:lang w:val="en-GB"/>
        </w:rPr>
      </w:pPr>
      <w:r>
        <w:rPr>
          <w:rFonts w:ascii="Arial" w:hAnsi="Arial" w:cs="Arial"/>
          <w:sz w:val="20"/>
          <w:szCs w:val="20"/>
          <w:lang w:val="en-GB"/>
        </w:rPr>
        <w:t>Fossi</w:t>
      </w:r>
      <w:r w:rsidR="006B645A">
        <w:rPr>
          <w:rFonts w:ascii="Arial" w:hAnsi="Arial" w:cs="Arial"/>
          <w:sz w:val="20"/>
          <w:szCs w:val="20"/>
          <w:lang w:val="en-GB"/>
        </w:rPr>
        <w:t>l</w:t>
      </w:r>
      <w:r>
        <w:rPr>
          <w:rFonts w:ascii="Arial" w:hAnsi="Arial" w:cs="Arial"/>
          <w:sz w:val="20"/>
          <w:szCs w:val="20"/>
          <w:lang w:val="en-GB"/>
        </w:rPr>
        <w:t>-fuel based e</w:t>
      </w:r>
      <w:r w:rsidR="005951E5">
        <w:rPr>
          <w:rFonts w:ascii="Arial" w:hAnsi="Arial" w:cs="Arial"/>
          <w:sz w:val="20"/>
          <w:szCs w:val="20"/>
          <w:lang w:val="en-GB"/>
        </w:rPr>
        <w:t xml:space="preserve">nergy production </w:t>
      </w:r>
      <w:r>
        <w:rPr>
          <w:rFonts w:ascii="Arial" w:hAnsi="Arial" w:cs="Arial"/>
          <w:sz w:val="20"/>
          <w:szCs w:val="20"/>
          <w:lang w:val="en-GB"/>
        </w:rPr>
        <w:t>a</w:t>
      </w:r>
      <w:r w:rsidR="005951E5">
        <w:rPr>
          <w:rFonts w:ascii="Arial" w:hAnsi="Arial" w:cs="Arial"/>
          <w:sz w:val="20"/>
          <w:szCs w:val="20"/>
          <w:lang w:val="en-GB"/>
        </w:rPr>
        <w:t>nd related activities</w:t>
      </w:r>
      <w:r w:rsidR="00213F80" w:rsidRPr="009D6C41">
        <w:rPr>
          <w:rStyle w:val="FootnoteReference"/>
          <w:rFonts w:ascii="Arial" w:hAnsi="Arial" w:cs="Arial"/>
          <w:sz w:val="20"/>
          <w:szCs w:val="20"/>
          <w:lang w:val="en-GB"/>
        </w:rPr>
        <w:footnoteReference w:id="6"/>
      </w:r>
      <w:r w:rsidR="00213F80" w:rsidRPr="009D6C41">
        <w:rPr>
          <w:rFonts w:ascii="Arial" w:hAnsi="Arial" w:cs="Arial"/>
          <w:sz w:val="20"/>
          <w:szCs w:val="20"/>
          <w:lang w:val="en-GB"/>
        </w:rPr>
        <w:t xml:space="preserve">, </w:t>
      </w:r>
    </w:p>
    <w:p w14:paraId="35D66220" w14:textId="4EEEEF45" w:rsidR="00AB01C6" w:rsidRPr="009D6C41" w:rsidRDefault="005D0C84" w:rsidP="00062C24">
      <w:pPr>
        <w:pStyle w:val="ListParagraph"/>
        <w:numPr>
          <w:ilvl w:val="0"/>
          <w:numId w:val="32"/>
        </w:numPr>
        <w:spacing w:after="0" w:line="276" w:lineRule="auto"/>
        <w:contextualSpacing w:val="0"/>
        <w:jc w:val="both"/>
        <w:rPr>
          <w:rFonts w:ascii="Arial" w:hAnsi="Arial" w:cs="Arial"/>
          <w:sz w:val="20"/>
          <w:szCs w:val="20"/>
          <w:lang w:val="en-GB"/>
        </w:rPr>
      </w:pPr>
      <w:r w:rsidRPr="009D6C41">
        <w:rPr>
          <w:rFonts w:ascii="Arial" w:hAnsi="Arial" w:cs="Arial"/>
          <w:sz w:val="20"/>
          <w:szCs w:val="20"/>
          <w:lang w:val="en-GB"/>
        </w:rPr>
        <w:t>E</w:t>
      </w:r>
      <w:r w:rsidR="00213F80" w:rsidRPr="009D6C41">
        <w:rPr>
          <w:rFonts w:ascii="Arial" w:hAnsi="Arial" w:cs="Arial"/>
          <w:sz w:val="20"/>
          <w:szCs w:val="20"/>
          <w:lang w:val="en-GB"/>
        </w:rPr>
        <w:t>nerg</w:t>
      </w:r>
      <w:r>
        <w:rPr>
          <w:rFonts w:ascii="Arial" w:hAnsi="Arial" w:cs="Arial"/>
          <w:sz w:val="20"/>
          <w:szCs w:val="20"/>
          <w:lang w:val="en-GB"/>
        </w:rPr>
        <w:t>y-intensive industries and/or</w:t>
      </w:r>
      <w:r w:rsidR="00213F80" w:rsidRPr="009D6C41">
        <w:rPr>
          <w:rFonts w:ascii="Arial" w:hAnsi="Arial" w:cs="Arial"/>
          <w:sz w:val="20"/>
          <w:szCs w:val="20"/>
          <w:lang w:val="en-GB"/>
        </w:rPr>
        <w:t xml:space="preserve"> </w:t>
      </w:r>
      <w:r w:rsidR="00A14A8E">
        <w:rPr>
          <w:rFonts w:ascii="Arial" w:hAnsi="Arial" w:cs="Arial"/>
          <w:sz w:val="20"/>
          <w:szCs w:val="20"/>
          <w:lang w:val="en-GB"/>
        </w:rPr>
        <w:t xml:space="preserve">high </w:t>
      </w:r>
      <w:r w:rsidR="00213F80" w:rsidRPr="009D6C41">
        <w:rPr>
          <w:rFonts w:ascii="Arial" w:hAnsi="Arial" w:cs="Arial"/>
          <w:sz w:val="20"/>
          <w:szCs w:val="20"/>
          <w:lang w:val="en-GB"/>
        </w:rPr>
        <w:t>CO2</w:t>
      </w:r>
      <w:r w:rsidR="00A14A8E">
        <w:rPr>
          <w:rFonts w:ascii="Arial" w:hAnsi="Arial" w:cs="Arial"/>
          <w:sz w:val="20"/>
          <w:szCs w:val="20"/>
          <w:lang w:val="en-GB"/>
        </w:rPr>
        <w:t>-emitting industries</w:t>
      </w:r>
      <w:r w:rsidR="00213F80" w:rsidRPr="009D6C41">
        <w:rPr>
          <w:rStyle w:val="FootnoteReference"/>
          <w:rFonts w:ascii="Arial" w:hAnsi="Arial" w:cs="Arial"/>
          <w:sz w:val="20"/>
          <w:szCs w:val="20"/>
          <w:lang w:val="en-GB"/>
        </w:rPr>
        <w:footnoteReference w:id="7"/>
      </w:r>
      <w:r w:rsidR="00213F80" w:rsidRPr="009D6C41">
        <w:rPr>
          <w:rFonts w:ascii="Arial" w:hAnsi="Arial" w:cs="Arial"/>
          <w:sz w:val="20"/>
          <w:szCs w:val="20"/>
          <w:lang w:val="en-GB"/>
        </w:rPr>
        <w:t xml:space="preserve">, </w:t>
      </w:r>
    </w:p>
    <w:p w14:paraId="380BD167" w14:textId="5DB7FD46" w:rsidR="00AB01C6" w:rsidRPr="009D6C41" w:rsidRDefault="00914E7F" w:rsidP="00062C24">
      <w:pPr>
        <w:pStyle w:val="ListParagraph"/>
        <w:numPr>
          <w:ilvl w:val="0"/>
          <w:numId w:val="32"/>
        </w:numPr>
        <w:spacing w:after="0" w:line="276" w:lineRule="auto"/>
        <w:contextualSpacing w:val="0"/>
        <w:jc w:val="both"/>
        <w:rPr>
          <w:rFonts w:ascii="Arial" w:hAnsi="Arial" w:cs="Arial"/>
          <w:sz w:val="20"/>
          <w:szCs w:val="20"/>
          <w:lang w:val="en-GB"/>
        </w:rPr>
      </w:pPr>
      <w:r>
        <w:rPr>
          <w:rFonts w:ascii="Arial" w:hAnsi="Arial" w:cs="Arial"/>
          <w:sz w:val="20"/>
          <w:szCs w:val="20"/>
          <w:lang w:val="en-GB"/>
        </w:rPr>
        <w:t>Production</w:t>
      </w:r>
      <w:r w:rsidR="00213F80" w:rsidRPr="009D6C41">
        <w:rPr>
          <w:rFonts w:ascii="Arial" w:hAnsi="Arial" w:cs="Arial"/>
          <w:sz w:val="20"/>
          <w:szCs w:val="20"/>
          <w:lang w:val="en-GB"/>
        </w:rPr>
        <w:t xml:space="preserve">, </w:t>
      </w:r>
      <w:r>
        <w:rPr>
          <w:rFonts w:ascii="Arial" w:hAnsi="Arial" w:cs="Arial"/>
          <w:sz w:val="20"/>
          <w:szCs w:val="20"/>
          <w:lang w:val="en-GB"/>
        </w:rPr>
        <w:t>rental</w:t>
      </w:r>
      <w:r w:rsidR="00F3553D">
        <w:rPr>
          <w:rFonts w:ascii="Arial" w:hAnsi="Arial" w:cs="Arial"/>
          <w:sz w:val="20"/>
          <w:szCs w:val="20"/>
          <w:lang w:val="en-GB"/>
        </w:rPr>
        <w:t>,</w:t>
      </w:r>
      <w:r>
        <w:rPr>
          <w:rFonts w:ascii="Arial" w:hAnsi="Arial" w:cs="Arial"/>
          <w:sz w:val="20"/>
          <w:szCs w:val="20"/>
          <w:lang w:val="en-GB"/>
        </w:rPr>
        <w:t xml:space="preserve"> or sale of</w:t>
      </w:r>
      <w:r w:rsidR="00213F80" w:rsidRPr="009D6C41">
        <w:rPr>
          <w:rFonts w:ascii="Arial" w:hAnsi="Arial" w:cs="Arial"/>
          <w:sz w:val="20"/>
          <w:szCs w:val="20"/>
          <w:lang w:val="en-GB"/>
        </w:rPr>
        <w:t xml:space="preserve"> </w:t>
      </w:r>
      <w:r>
        <w:rPr>
          <w:rFonts w:ascii="Arial" w:hAnsi="Arial" w:cs="Arial"/>
          <w:sz w:val="20"/>
          <w:szCs w:val="20"/>
          <w:lang w:val="en-GB"/>
        </w:rPr>
        <w:t>polluting vehicles</w:t>
      </w:r>
      <w:r w:rsidR="00213F80" w:rsidRPr="009D6C41">
        <w:rPr>
          <w:rStyle w:val="FootnoteReference"/>
          <w:rFonts w:ascii="Arial" w:hAnsi="Arial" w:cs="Arial"/>
          <w:sz w:val="20"/>
          <w:szCs w:val="20"/>
          <w:lang w:val="en-GB"/>
        </w:rPr>
        <w:footnoteReference w:id="8"/>
      </w:r>
      <w:r w:rsidR="00213F80" w:rsidRPr="009D6C41">
        <w:rPr>
          <w:rFonts w:ascii="Arial" w:hAnsi="Arial" w:cs="Arial"/>
          <w:sz w:val="20"/>
          <w:szCs w:val="20"/>
          <w:lang w:val="en-GB"/>
        </w:rPr>
        <w:t xml:space="preserve">, </w:t>
      </w:r>
    </w:p>
    <w:p w14:paraId="5209452A" w14:textId="725C8A9E" w:rsidR="00AB01C6" w:rsidRPr="009D6C41" w:rsidRDefault="00F3553D" w:rsidP="00062C24">
      <w:pPr>
        <w:pStyle w:val="ListParagraph"/>
        <w:numPr>
          <w:ilvl w:val="0"/>
          <w:numId w:val="32"/>
        </w:numPr>
        <w:spacing w:after="0" w:line="276" w:lineRule="auto"/>
        <w:contextualSpacing w:val="0"/>
        <w:jc w:val="both"/>
        <w:rPr>
          <w:rFonts w:ascii="Arial" w:hAnsi="Arial" w:cs="Arial"/>
          <w:sz w:val="20"/>
          <w:szCs w:val="20"/>
          <w:lang w:val="en-GB"/>
        </w:rPr>
      </w:pPr>
      <w:r>
        <w:rPr>
          <w:rFonts w:ascii="Arial" w:hAnsi="Arial" w:cs="Arial"/>
          <w:sz w:val="20"/>
          <w:szCs w:val="20"/>
          <w:lang w:val="en-GB"/>
        </w:rPr>
        <w:t>Waste c</w:t>
      </w:r>
      <w:r w:rsidR="00DA4D2B">
        <w:rPr>
          <w:rFonts w:ascii="Arial" w:hAnsi="Arial" w:cs="Arial"/>
          <w:sz w:val="20"/>
          <w:szCs w:val="20"/>
          <w:lang w:val="en-GB"/>
        </w:rPr>
        <w:t xml:space="preserve">ollection, </w:t>
      </w:r>
      <w:r>
        <w:rPr>
          <w:rFonts w:ascii="Arial" w:hAnsi="Arial" w:cs="Arial"/>
          <w:sz w:val="20"/>
          <w:szCs w:val="20"/>
          <w:lang w:val="en-GB"/>
        </w:rPr>
        <w:t>treatment</w:t>
      </w:r>
      <w:r w:rsidR="00DA4D2B">
        <w:rPr>
          <w:rFonts w:ascii="Arial" w:hAnsi="Arial" w:cs="Arial"/>
          <w:sz w:val="20"/>
          <w:szCs w:val="20"/>
          <w:lang w:val="en-GB"/>
        </w:rPr>
        <w:t xml:space="preserve"> and disposal</w:t>
      </w:r>
      <w:r w:rsidR="00213F80" w:rsidRPr="009D6C41">
        <w:rPr>
          <w:rStyle w:val="FootnoteReference"/>
          <w:rFonts w:ascii="Arial" w:hAnsi="Arial" w:cs="Arial"/>
          <w:sz w:val="20"/>
          <w:szCs w:val="20"/>
          <w:lang w:val="en-GB"/>
        </w:rPr>
        <w:footnoteReference w:id="9"/>
      </w:r>
      <w:r w:rsidR="00213F80" w:rsidRPr="009D6C41">
        <w:rPr>
          <w:rFonts w:ascii="Arial" w:hAnsi="Arial" w:cs="Arial"/>
          <w:sz w:val="20"/>
          <w:szCs w:val="20"/>
          <w:lang w:val="en-GB"/>
        </w:rPr>
        <w:t xml:space="preserve">, </w:t>
      </w:r>
    </w:p>
    <w:p w14:paraId="38404DD0" w14:textId="22A71F86" w:rsidR="00213F80" w:rsidRPr="009D6C41" w:rsidRDefault="00D14AF3" w:rsidP="00062C24">
      <w:pPr>
        <w:pStyle w:val="ListParagraph"/>
        <w:numPr>
          <w:ilvl w:val="0"/>
          <w:numId w:val="32"/>
        </w:numPr>
        <w:spacing w:after="0" w:line="276" w:lineRule="auto"/>
        <w:contextualSpacing w:val="0"/>
        <w:jc w:val="both"/>
        <w:rPr>
          <w:rFonts w:ascii="Arial" w:hAnsi="Arial" w:cs="Arial"/>
          <w:sz w:val="20"/>
          <w:szCs w:val="20"/>
          <w:lang w:val="en-GB"/>
        </w:rPr>
      </w:pPr>
      <w:r>
        <w:rPr>
          <w:rFonts w:ascii="Arial" w:hAnsi="Arial" w:cs="Arial"/>
          <w:sz w:val="20"/>
          <w:szCs w:val="20"/>
          <w:lang w:val="en-GB"/>
        </w:rPr>
        <w:t>Processing of n</w:t>
      </w:r>
      <w:r w:rsidR="0020118F">
        <w:rPr>
          <w:rFonts w:ascii="Arial" w:hAnsi="Arial" w:cs="Arial"/>
          <w:sz w:val="20"/>
          <w:szCs w:val="20"/>
          <w:lang w:val="en-GB"/>
        </w:rPr>
        <w:t>uclear fuel</w:t>
      </w:r>
      <w:r>
        <w:rPr>
          <w:rFonts w:ascii="Arial" w:hAnsi="Arial" w:cs="Arial"/>
          <w:sz w:val="20"/>
          <w:szCs w:val="20"/>
          <w:lang w:val="en-GB"/>
        </w:rPr>
        <w:t xml:space="preserve">, production of </w:t>
      </w:r>
      <w:r w:rsidR="0020118F">
        <w:rPr>
          <w:rFonts w:ascii="Arial" w:hAnsi="Arial" w:cs="Arial"/>
          <w:sz w:val="20"/>
          <w:szCs w:val="20"/>
          <w:lang w:val="en-GB"/>
        </w:rPr>
        <w:t>nuclear energy</w:t>
      </w:r>
      <w:r w:rsidR="00F266A7" w:rsidRPr="009D6C41">
        <w:rPr>
          <w:rFonts w:ascii="Arial" w:hAnsi="Arial" w:cs="Arial"/>
          <w:sz w:val="20"/>
          <w:szCs w:val="20"/>
          <w:lang w:val="en-GB"/>
        </w:rPr>
        <w:t>;</w:t>
      </w:r>
    </w:p>
    <w:p w14:paraId="76711B4C" w14:textId="481ACD2E" w:rsidR="00F266A7" w:rsidRPr="009D6C41" w:rsidRDefault="00865F92" w:rsidP="00F266A7">
      <w:pPr>
        <w:pStyle w:val="ListParagraph"/>
        <w:numPr>
          <w:ilvl w:val="0"/>
          <w:numId w:val="29"/>
        </w:numPr>
        <w:spacing w:after="0" w:line="276" w:lineRule="auto"/>
        <w:contextualSpacing w:val="0"/>
        <w:jc w:val="both"/>
        <w:rPr>
          <w:rStyle w:val="eop"/>
          <w:rFonts w:ascii="Arial" w:hAnsi="Arial" w:cs="Arial"/>
          <w:sz w:val="20"/>
          <w:szCs w:val="20"/>
          <w:lang w:val="en-GB"/>
        </w:rPr>
      </w:pPr>
      <w:r>
        <w:rPr>
          <w:rFonts w:ascii="Arial" w:hAnsi="Arial" w:cs="Arial"/>
          <w:sz w:val="20"/>
          <w:szCs w:val="20"/>
          <w:lang w:val="en-GB"/>
        </w:rPr>
        <w:t>A</w:t>
      </w:r>
      <w:r w:rsidR="00884E05" w:rsidRPr="00884E05">
        <w:rPr>
          <w:rFonts w:ascii="Arial" w:hAnsi="Arial" w:cs="Arial"/>
          <w:sz w:val="20"/>
          <w:szCs w:val="20"/>
          <w:lang w:val="en-GB"/>
        </w:rPr>
        <w:t xml:space="preserve">ll other applicable </w:t>
      </w:r>
      <w:r w:rsidR="00525E06">
        <w:rPr>
          <w:rFonts w:ascii="Arial" w:hAnsi="Arial" w:cs="Arial"/>
          <w:sz w:val="20"/>
          <w:szCs w:val="20"/>
          <w:lang w:val="en-GB"/>
        </w:rPr>
        <w:t>bans</w:t>
      </w:r>
      <w:r w:rsidR="00884E05" w:rsidRPr="00884E05">
        <w:rPr>
          <w:rFonts w:ascii="Arial" w:hAnsi="Arial" w:cs="Arial"/>
          <w:sz w:val="20"/>
          <w:szCs w:val="20"/>
          <w:lang w:val="en-GB"/>
        </w:rPr>
        <w:t xml:space="preserve"> and restrictions in accordance with HBOR's General Eligibility Criteria</w:t>
      </w:r>
      <w:r w:rsidR="00F266A7" w:rsidRPr="009D6C41">
        <w:rPr>
          <w:rFonts w:ascii="Arial" w:hAnsi="Arial" w:cs="Arial"/>
          <w:sz w:val="20"/>
          <w:szCs w:val="20"/>
          <w:lang w:val="en-GB"/>
        </w:rPr>
        <w:t>.</w:t>
      </w:r>
    </w:p>
    <w:p w14:paraId="27A661A2" w14:textId="77777777" w:rsidR="00F266A7" w:rsidRPr="009D6C41" w:rsidRDefault="00F266A7" w:rsidP="00F266A7">
      <w:pPr>
        <w:spacing w:after="0" w:line="276" w:lineRule="auto"/>
        <w:jc w:val="both"/>
        <w:rPr>
          <w:rFonts w:ascii="Arial" w:hAnsi="Arial" w:cs="Arial"/>
          <w:sz w:val="20"/>
          <w:szCs w:val="20"/>
          <w:lang w:val="en-GB"/>
        </w:rPr>
      </w:pPr>
    </w:p>
    <w:p w14:paraId="51FF71CB" w14:textId="77777777" w:rsidR="0057062B" w:rsidRPr="009D6C41" w:rsidRDefault="0057062B" w:rsidP="009B76F8">
      <w:pPr>
        <w:widowControl w:val="0"/>
        <w:tabs>
          <w:tab w:val="left" w:pos="879"/>
          <w:tab w:val="left" w:pos="880"/>
        </w:tabs>
        <w:autoSpaceDE w:val="0"/>
        <w:autoSpaceDN w:val="0"/>
        <w:spacing w:before="1" w:after="0" w:line="276" w:lineRule="auto"/>
        <w:jc w:val="both"/>
        <w:rPr>
          <w:rFonts w:ascii="Arial" w:hAnsi="Arial" w:cs="Arial"/>
          <w:sz w:val="20"/>
          <w:szCs w:val="20"/>
          <w:lang w:val="en-GB"/>
        </w:rPr>
      </w:pPr>
    </w:p>
    <w:sectPr w:rsidR="0057062B" w:rsidRPr="009D6C41" w:rsidSect="00236DFF">
      <w:headerReference w:type="default" r:id="rId11"/>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FCDC5" w14:textId="77777777" w:rsidR="005B2B57" w:rsidRDefault="005B2B57" w:rsidP="009C43A4">
      <w:pPr>
        <w:spacing w:after="0" w:line="240" w:lineRule="auto"/>
      </w:pPr>
      <w:r>
        <w:separator/>
      </w:r>
    </w:p>
  </w:endnote>
  <w:endnote w:type="continuationSeparator" w:id="0">
    <w:p w14:paraId="67261BC2" w14:textId="77777777" w:rsidR="005B2B57" w:rsidRDefault="005B2B57" w:rsidP="009C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ill Sans MT">
    <w:panose1 w:val="020B0502020104020203"/>
    <w:charset w:val="EE"/>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AB183" w14:textId="77777777" w:rsidR="005B2B57" w:rsidRDefault="005B2B57" w:rsidP="009C43A4">
      <w:pPr>
        <w:spacing w:after="0" w:line="240" w:lineRule="auto"/>
      </w:pPr>
      <w:r>
        <w:separator/>
      </w:r>
    </w:p>
  </w:footnote>
  <w:footnote w:type="continuationSeparator" w:id="0">
    <w:p w14:paraId="6C57E505" w14:textId="77777777" w:rsidR="005B2B57" w:rsidRDefault="005B2B57" w:rsidP="009C43A4">
      <w:pPr>
        <w:spacing w:after="0" w:line="240" w:lineRule="auto"/>
      </w:pPr>
      <w:r>
        <w:continuationSeparator/>
      </w:r>
    </w:p>
  </w:footnote>
  <w:footnote w:id="1">
    <w:p w14:paraId="15F5FF01" w14:textId="08A43464" w:rsidR="00213F80" w:rsidRPr="009D6C41" w:rsidRDefault="00213F80" w:rsidP="00213F80">
      <w:pPr>
        <w:pStyle w:val="Default"/>
        <w:jc w:val="both"/>
        <w:rPr>
          <w:rFonts w:ascii="Arial" w:hAnsi="Arial" w:cs="Arial"/>
          <w:color w:val="auto"/>
          <w:sz w:val="18"/>
          <w:szCs w:val="18"/>
          <w:lang w:val="en-GB" w:eastAsia="hr-HR"/>
        </w:rPr>
      </w:pPr>
      <w:r w:rsidRPr="00A80166">
        <w:rPr>
          <w:rStyle w:val="FootnoteReference"/>
          <w:rFonts w:ascii="Arial" w:hAnsi="Arial" w:cs="Arial"/>
          <w:sz w:val="18"/>
          <w:szCs w:val="18"/>
        </w:rPr>
        <w:footnoteRef/>
      </w:r>
      <w:r w:rsidRPr="00A80166">
        <w:rPr>
          <w:rStyle w:val="FootnoteReference"/>
          <w:rFonts w:ascii="Arial" w:hAnsi="Arial" w:cs="Arial"/>
          <w:sz w:val="18"/>
          <w:szCs w:val="18"/>
        </w:rPr>
        <w:t xml:space="preserve"> </w:t>
      </w:r>
      <w:r w:rsidR="00642762">
        <w:rPr>
          <w:rFonts w:ascii="Arial" w:hAnsi="Arial" w:cs="Arial"/>
          <w:color w:val="auto"/>
          <w:sz w:val="18"/>
          <w:szCs w:val="18"/>
          <w:lang w:val="en-GB" w:eastAsia="hr-HR"/>
        </w:rPr>
        <w:t>Except</w:t>
      </w:r>
      <w:r w:rsidR="00EB564D">
        <w:rPr>
          <w:rFonts w:ascii="Arial" w:hAnsi="Arial" w:cs="Arial"/>
          <w:color w:val="auto"/>
          <w:sz w:val="18"/>
          <w:szCs w:val="18"/>
          <w:lang w:val="en-GB" w:eastAsia="hr-HR"/>
        </w:rPr>
        <w:t xml:space="preserve"> for</w:t>
      </w:r>
      <w:r w:rsidR="00642762" w:rsidRPr="00642762">
        <w:rPr>
          <w:rFonts w:ascii="Arial" w:hAnsi="Arial" w:cs="Arial"/>
          <w:color w:val="auto"/>
          <w:sz w:val="18"/>
          <w:szCs w:val="18"/>
          <w:lang w:val="en-GB" w:eastAsia="hr-HR"/>
        </w:rPr>
        <w:t xml:space="preserve"> (a) </w:t>
      </w:r>
      <w:r w:rsidR="005C7BF1">
        <w:rPr>
          <w:rFonts w:ascii="Arial" w:hAnsi="Arial" w:cs="Arial"/>
          <w:color w:val="auto"/>
          <w:sz w:val="18"/>
          <w:szCs w:val="18"/>
          <w:lang w:val="en-GB" w:eastAsia="hr-HR"/>
        </w:rPr>
        <w:t>assets and activities</w:t>
      </w:r>
      <w:r w:rsidR="00642762" w:rsidRPr="00642762">
        <w:rPr>
          <w:rFonts w:ascii="Arial" w:hAnsi="Arial" w:cs="Arial"/>
          <w:color w:val="auto"/>
          <w:sz w:val="18"/>
          <w:szCs w:val="18"/>
          <w:lang w:val="en-GB" w:eastAsia="hr-HR"/>
        </w:rPr>
        <w:t xml:space="preserve"> </w:t>
      </w:r>
      <w:r w:rsidR="00D62568" w:rsidRPr="00D62568">
        <w:rPr>
          <w:rFonts w:ascii="Arial" w:hAnsi="Arial" w:cs="Arial"/>
          <w:sz w:val="18"/>
          <w:szCs w:val="18"/>
          <w:lang w:val="en-GB"/>
        </w:rPr>
        <w:t>in power and/or heat generation, as well as related transmission and distribution infrastructure, using natural gas, that are compliant with the conditions set out in Annex III of the ‘Do no significant harm’ Technical Guidance (2021/C58/01) and (b) activities and assets under point (ii) for which the use of fossil fuels is temporary and technically unavoidable for the timely transition towards a fossil fuel free operation</w:t>
      </w:r>
      <w:r w:rsidRPr="009D6C41">
        <w:rPr>
          <w:rFonts w:ascii="Arial" w:hAnsi="Arial" w:cs="Arial"/>
          <w:color w:val="auto"/>
          <w:sz w:val="18"/>
          <w:szCs w:val="18"/>
          <w:lang w:val="en-GB" w:eastAsia="hr-HR"/>
        </w:rPr>
        <w:t>.</w:t>
      </w:r>
    </w:p>
  </w:footnote>
  <w:footnote w:id="2">
    <w:p w14:paraId="1944860F" w14:textId="68100DC7" w:rsidR="00213F80" w:rsidRPr="009D6C41" w:rsidRDefault="00213F80" w:rsidP="0079493A">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79493A" w:rsidRPr="0079493A">
        <w:rPr>
          <w:rFonts w:ascii="Arial" w:hAnsi="Arial" w:cs="Arial"/>
          <w:sz w:val="18"/>
          <w:szCs w:val="18"/>
          <w:lang w:val="en-GB"/>
        </w:rPr>
        <w:t>Where the activity supported achieves projected greenhouse gas emissions that are not significantly lower than the relevant</w:t>
      </w:r>
      <w:r w:rsidR="0079493A">
        <w:rPr>
          <w:rFonts w:ascii="Arial" w:hAnsi="Arial" w:cs="Arial"/>
          <w:sz w:val="18"/>
          <w:szCs w:val="18"/>
          <w:lang w:val="en-GB"/>
        </w:rPr>
        <w:t xml:space="preserve"> </w:t>
      </w:r>
      <w:r w:rsidR="0079493A" w:rsidRPr="0079493A">
        <w:rPr>
          <w:rFonts w:ascii="Arial" w:hAnsi="Arial" w:cs="Arial"/>
          <w:sz w:val="18"/>
          <w:szCs w:val="18"/>
          <w:lang w:val="en-GB"/>
        </w:rPr>
        <w:t>benchmarks, an explanation of the reasons why this is not possible shall be provided. Benchmarks established for free allocation for</w:t>
      </w:r>
      <w:r w:rsidR="0079493A">
        <w:rPr>
          <w:rFonts w:ascii="Arial" w:hAnsi="Arial" w:cs="Arial"/>
          <w:sz w:val="18"/>
          <w:szCs w:val="18"/>
          <w:lang w:val="en-GB"/>
        </w:rPr>
        <w:t xml:space="preserve"> </w:t>
      </w:r>
      <w:r w:rsidR="0079493A" w:rsidRPr="0079493A">
        <w:rPr>
          <w:rFonts w:ascii="Arial" w:hAnsi="Arial" w:cs="Arial"/>
          <w:sz w:val="18"/>
          <w:szCs w:val="18"/>
          <w:lang w:val="en-GB"/>
        </w:rPr>
        <w:t>activities falling within the scope of the Emissions Trading System, as set out in the Commission Implementing Regulation (EU)</w:t>
      </w:r>
      <w:r w:rsidR="0079493A">
        <w:rPr>
          <w:rFonts w:ascii="Arial" w:hAnsi="Arial" w:cs="Arial"/>
          <w:sz w:val="18"/>
          <w:szCs w:val="18"/>
          <w:lang w:val="en-GB"/>
        </w:rPr>
        <w:t xml:space="preserve"> </w:t>
      </w:r>
      <w:r w:rsidR="0079493A" w:rsidRPr="0079493A">
        <w:rPr>
          <w:rFonts w:ascii="Arial" w:hAnsi="Arial" w:cs="Arial"/>
          <w:sz w:val="18"/>
          <w:szCs w:val="18"/>
          <w:lang w:val="en-GB"/>
        </w:rPr>
        <w:t>2021/447</w:t>
      </w:r>
      <w:r w:rsidR="0079493A">
        <w:rPr>
          <w:rFonts w:ascii="Arial" w:hAnsi="Arial" w:cs="Arial"/>
          <w:sz w:val="18"/>
          <w:szCs w:val="18"/>
          <w:lang w:val="en-GB"/>
        </w:rPr>
        <w:t>.</w:t>
      </w:r>
    </w:p>
  </w:footnote>
  <w:footnote w:id="3">
    <w:p w14:paraId="74D7A5DE" w14:textId="5E8E3ED5" w:rsidR="00213F80" w:rsidRPr="009D6C41" w:rsidRDefault="00213F80" w:rsidP="00213F80">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1948E7" w:rsidRPr="001948E7">
        <w:rPr>
          <w:rFonts w:ascii="Arial" w:hAnsi="Arial" w:cs="Arial"/>
          <w:sz w:val="18"/>
          <w:szCs w:val="18"/>
          <w:lang w:val="en-GB"/>
        </w:rPr>
        <w:t>This exclusion does not apply to investments in plants exclusively dedicated to treating non-recyclable hazardous waste and existing plants, where the investment is for the purpose of increasing energy efficiency, capturing exhaust gases for storage or use or recovering materials from incineration ashes, provided that such activities do not result in an increase in the capacity of waste treatment plant or prolongation of the lifetime of the plant; for which there is evidence at the plant leve</w:t>
      </w:r>
      <w:r w:rsidR="00C0026D">
        <w:rPr>
          <w:rFonts w:ascii="Arial" w:hAnsi="Arial" w:cs="Arial"/>
          <w:sz w:val="18"/>
          <w:szCs w:val="18"/>
          <w:lang w:val="en-GB"/>
        </w:rPr>
        <w:t>l</w:t>
      </w:r>
      <w:r w:rsidRPr="009D6C41">
        <w:rPr>
          <w:rFonts w:ascii="Arial" w:hAnsi="Arial" w:cs="Arial"/>
          <w:sz w:val="18"/>
          <w:szCs w:val="18"/>
          <w:lang w:val="en-GB"/>
        </w:rPr>
        <w:t xml:space="preserve">.  </w:t>
      </w:r>
    </w:p>
  </w:footnote>
  <w:footnote w:id="4">
    <w:p w14:paraId="10032D3D" w14:textId="0DA3FB25" w:rsidR="00213F80" w:rsidRPr="009D6C41" w:rsidRDefault="00213F80" w:rsidP="00B561DC">
      <w:pPr>
        <w:pStyle w:val="FootnoteText"/>
        <w:jc w:val="both"/>
        <w:rPr>
          <w:rFonts w:ascii="Calibri" w:hAnsi="Calibri" w:cs="Calibri"/>
          <w:sz w:val="18"/>
          <w:szCs w:val="18"/>
          <w:lang w:val="en-GB"/>
        </w:rPr>
      </w:pPr>
      <w:r w:rsidRPr="009D6C41">
        <w:rPr>
          <w:rFonts w:ascii="Arial" w:hAnsi="Arial" w:cs="Arial"/>
          <w:sz w:val="18"/>
          <w:szCs w:val="18"/>
          <w:lang w:val="en-GB"/>
        </w:rPr>
        <w:footnoteRef/>
      </w:r>
      <w:r w:rsidRPr="009D6C41">
        <w:rPr>
          <w:rFonts w:ascii="Arial" w:hAnsi="Arial" w:cs="Arial"/>
          <w:sz w:val="18"/>
          <w:szCs w:val="18"/>
          <w:lang w:val="en-GB"/>
        </w:rPr>
        <w:t xml:space="preserve"> </w:t>
      </w:r>
      <w:r w:rsidR="00B561DC" w:rsidRPr="00B561DC">
        <w:rPr>
          <w:rFonts w:ascii="Arial" w:hAnsi="Arial" w:cs="Arial"/>
          <w:sz w:val="18"/>
          <w:szCs w:val="18"/>
          <w:lang w:val="en-GB"/>
        </w:rPr>
        <w:t>This exclusion does not apply to actions under this measure in plants exclusively dedicated to treating non-recyclable hazardous</w:t>
      </w:r>
      <w:r w:rsidR="00B561DC">
        <w:rPr>
          <w:rFonts w:ascii="Arial" w:hAnsi="Arial" w:cs="Arial"/>
          <w:sz w:val="18"/>
          <w:szCs w:val="18"/>
          <w:lang w:val="en-GB"/>
        </w:rPr>
        <w:t xml:space="preserve"> </w:t>
      </w:r>
      <w:r w:rsidR="00B561DC" w:rsidRPr="00B561DC">
        <w:rPr>
          <w:rFonts w:ascii="Arial" w:hAnsi="Arial" w:cs="Arial"/>
          <w:sz w:val="18"/>
          <w:szCs w:val="18"/>
          <w:lang w:val="en-GB"/>
        </w:rPr>
        <w:t>waste, and to existing plants, where the actions under this measure are for the purpose of increasing energy efficiency, capturing</w:t>
      </w:r>
      <w:r w:rsidR="00B561DC">
        <w:rPr>
          <w:rFonts w:ascii="Arial" w:hAnsi="Arial" w:cs="Arial"/>
          <w:sz w:val="18"/>
          <w:szCs w:val="18"/>
          <w:lang w:val="en-GB"/>
        </w:rPr>
        <w:t xml:space="preserve"> </w:t>
      </w:r>
      <w:r w:rsidR="00B561DC" w:rsidRPr="00B561DC">
        <w:rPr>
          <w:rFonts w:ascii="Arial" w:hAnsi="Arial" w:cs="Arial"/>
          <w:sz w:val="18"/>
          <w:szCs w:val="18"/>
          <w:lang w:val="en-GB"/>
        </w:rPr>
        <w:t>exhaust gases for storage or use or recovering materials from incineration ashes, provided such actions under this measure do not</w:t>
      </w:r>
      <w:r w:rsidR="00B561DC">
        <w:rPr>
          <w:rFonts w:ascii="Arial" w:hAnsi="Arial" w:cs="Arial"/>
          <w:sz w:val="18"/>
          <w:szCs w:val="18"/>
          <w:lang w:val="en-GB"/>
        </w:rPr>
        <w:t xml:space="preserve"> </w:t>
      </w:r>
      <w:r w:rsidR="00B561DC" w:rsidRPr="00B561DC">
        <w:rPr>
          <w:rFonts w:ascii="Arial" w:hAnsi="Arial" w:cs="Arial"/>
          <w:sz w:val="18"/>
          <w:szCs w:val="18"/>
          <w:lang w:val="en-GB"/>
        </w:rPr>
        <w:t>result in an increase of the plants’ waste processing capacity or in an extension of the lifetime of the plants; for which evidence is</w:t>
      </w:r>
      <w:r w:rsidR="00B561DC">
        <w:rPr>
          <w:rFonts w:ascii="Arial" w:hAnsi="Arial" w:cs="Arial"/>
          <w:sz w:val="18"/>
          <w:szCs w:val="18"/>
          <w:lang w:val="en-GB"/>
        </w:rPr>
        <w:t xml:space="preserve"> </w:t>
      </w:r>
      <w:r w:rsidR="00B561DC" w:rsidRPr="00B561DC">
        <w:rPr>
          <w:rFonts w:ascii="Arial" w:hAnsi="Arial" w:cs="Arial"/>
          <w:sz w:val="18"/>
          <w:szCs w:val="18"/>
          <w:lang w:val="en-GB"/>
        </w:rPr>
        <w:t>provided at plant leve</w:t>
      </w:r>
      <w:r w:rsidR="00B561DC">
        <w:rPr>
          <w:rFonts w:ascii="Arial" w:hAnsi="Arial" w:cs="Arial"/>
          <w:sz w:val="18"/>
          <w:szCs w:val="18"/>
          <w:lang w:val="en-GB"/>
        </w:rPr>
        <w:t>l</w:t>
      </w:r>
      <w:r w:rsidRPr="001A36D5">
        <w:rPr>
          <w:rFonts w:ascii="Arial" w:hAnsi="Arial" w:cs="Arial"/>
          <w:sz w:val="18"/>
          <w:szCs w:val="18"/>
          <w:lang w:val="en-GB"/>
        </w:rPr>
        <w:t>.</w:t>
      </w:r>
      <w:r w:rsidRPr="009D6C41">
        <w:rPr>
          <w:rFonts w:ascii="Arial" w:hAnsi="Arial" w:cs="Arial"/>
          <w:sz w:val="18"/>
          <w:szCs w:val="18"/>
          <w:lang w:val="en-GB"/>
        </w:rPr>
        <w:t xml:space="preserve">  </w:t>
      </w:r>
    </w:p>
  </w:footnote>
  <w:footnote w:id="5">
    <w:p w14:paraId="64EB2CBD" w14:textId="2D5E05BC" w:rsidR="00213F80" w:rsidRPr="00590032" w:rsidRDefault="00213F80" w:rsidP="00213F80">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AD099A">
        <w:rPr>
          <w:rFonts w:ascii="Arial" w:hAnsi="Arial" w:cs="Arial"/>
          <w:sz w:val="18"/>
          <w:szCs w:val="18"/>
          <w:lang w:val="en-GB"/>
        </w:rPr>
        <w:t xml:space="preserve">It is considered that the Final Beneficiary </w:t>
      </w:r>
      <w:r w:rsidR="00C60A9A">
        <w:rPr>
          <w:rFonts w:ascii="Arial" w:hAnsi="Arial" w:cs="Arial"/>
          <w:sz w:val="18"/>
          <w:szCs w:val="18"/>
          <w:lang w:val="en-GB"/>
        </w:rPr>
        <w:t>has a “substantial focus”</w:t>
      </w:r>
      <w:r w:rsidR="00502F33">
        <w:rPr>
          <w:rFonts w:ascii="Arial" w:hAnsi="Arial" w:cs="Arial"/>
          <w:sz w:val="18"/>
          <w:szCs w:val="18"/>
          <w:lang w:val="en-GB"/>
        </w:rPr>
        <w:t xml:space="preserve"> </w:t>
      </w:r>
      <w:r w:rsidR="00AD099A" w:rsidRPr="00590032">
        <w:rPr>
          <w:rFonts w:ascii="Arial" w:hAnsi="Arial" w:cs="Arial"/>
          <w:sz w:val="18"/>
          <w:szCs w:val="18"/>
          <w:lang w:val="en-GB"/>
        </w:rPr>
        <w:t>on a sector or business activity if such sector or activity is identified as being an essential part of the business activity of the Final Beneficiary respectively in relation to the gross revenue, profit, or client base of the Final Beneficiary. The gross revenue generated from the restricted sector or activity shall, in any case, not exceed 50% of the gross revenue</w:t>
      </w:r>
      <w:r w:rsidR="00590032" w:rsidRPr="00590032">
        <w:rPr>
          <w:rFonts w:ascii="Arial" w:hAnsi="Arial" w:cs="Arial"/>
          <w:sz w:val="18"/>
          <w:szCs w:val="18"/>
          <w:lang w:val="en-GB"/>
        </w:rPr>
        <w:t>.</w:t>
      </w:r>
    </w:p>
  </w:footnote>
  <w:footnote w:id="6">
    <w:p w14:paraId="2D20359D" w14:textId="30D92589" w:rsidR="00213F80" w:rsidRPr="009D6C41" w:rsidRDefault="00213F80" w:rsidP="00213F80">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0F71EF">
        <w:rPr>
          <w:rFonts w:ascii="Arial" w:hAnsi="Arial" w:cs="Arial"/>
          <w:sz w:val="18"/>
          <w:szCs w:val="18"/>
          <w:lang w:val="en-GB" w:eastAsia="hr-HR"/>
        </w:rPr>
        <w:t>Except for</w:t>
      </w:r>
      <w:r w:rsidR="000F71EF" w:rsidRPr="00642762">
        <w:rPr>
          <w:rFonts w:ascii="Arial" w:hAnsi="Arial" w:cs="Arial"/>
          <w:sz w:val="18"/>
          <w:szCs w:val="18"/>
          <w:lang w:val="en-GB" w:eastAsia="hr-HR"/>
        </w:rPr>
        <w:t xml:space="preserve"> (a) </w:t>
      </w:r>
      <w:r w:rsidR="000F71EF">
        <w:rPr>
          <w:rFonts w:ascii="Arial" w:hAnsi="Arial" w:cs="Arial"/>
          <w:sz w:val="18"/>
          <w:szCs w:val="18"/>
          <w:lang w:val="en-GB" w:eastAsia="hr-HR"/>
        </w:rPr>
        <w:t>assets and activities</w:t>
      </w:r>
      <w:r w:rsidR="000F71EF" w:rsidRPr="00642762">
        <w:rPr>
          <w:rFonts w:ascii="Arial" w:hAnsi="Arial" w:cs="Arial"/>
          <w:sz w:val="18"/>
          <w:szCs w:val="18"/>
          <w:lang w:val="en-GB" w:eastAsia="hr-HR"/>
        </w:rPr>
        <w:t xml:space="preserve"> </w:t>
      </w:r>
      <w:r w:rsidR="000F71EF" w:rsidRPr="00D62568">
        <w:rPr>
          <w:rFonts w:ascii="Arial" w:hAnsi="Arial" w:cs="Arial"/>
          <w:sz w:val="18"/>
          <w:szCs w:val="18"/>
          <w:lang w:val="en-GB"/>
        </w:rPr>
        <w:t>in power and/or heat generation, as well as related transmission and distribution infrastructure, using natural gas, that are compliant with the conditions set out in Annex III of the ‘Do no significant harm’ Technical Guidance (2021/C58/01) and (b) activities and assets under point (ii) for which the use of fossil fuels is temporary and technically unavoidable for the timely transition towards a fossil fuel free operation</w:t>
      </w:r>
      <w:r w:rsidRPr="009D6C41">
        <w:rPr>
          <w:rFonts w:ascii="Arial" w:hAnsi="Arial" w:cs="Arial"/>
          <w:sz w:val="18"/>
          <w:szCs w:val="18"/>
          <w:lang w:val="en-GB"/>
        </w:rPr>
        <w:t xml:space="preserve">.  </w:t>
      </w:r>
    </w:p>
  </w:footnote>
  <w:footnote w:id="7">
    <w:p w14:paraId="47B5918A" w14:textId="3A7A33D6" w:rsidR="00213F80" w:rsidRPr="009D6C41" w:rsidRDefault="00213F80" w:rsidP="009D222F">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9D222F" w:rsidRPr="009D222F">
        <w:rPr>
          <w:rFonts w:ascii="Arial" w:hAnsi="Arial" w:cs="Arial"/>
          <w:sz w:val="18"/>
          <w:szCs w:val="18"/>
          <w:lang w:val="en-GB"/>
        </w:rPr>
        <w:t>Including activities and assets under the EU Emission Trading System (ETS) achieving projected greenhouse gas emissions that are</w:t>
      </w:r>
      <w:r w:rsidR="002A26BA">
        <w:rPr>
          <w:rFonts w:ascii="Arial" w:hAnsi="Arial" w:cs="Arial"/>
          <w:sz w:val="18"/>
          <w:szCs w:val="18"/>
          <w:lang w:val="en-GB"/>
        </w:rPr>
        <w:t xml:space="preserve"> </w:t>
      </w:r>
      <w:r w:rsidR="009D222F" w:rsidRPr="009D222F">
        <w:rPr>
          <w:rFonts w:ascii="Arial" w:hAnsi="Arial" w:cs="Arial"/>
          <w:sz w:val="18"/>
          <w:szCs w:val="18"/>
          <w:lang w:val="en-GB"/>
        </w:rPr>
        <w:t>not lower than the relevant benchmarks. Where the activity supported achieves projected greenhouse gas emissions that are not</w:t>
      </w:r>
      <w:r w:rsidR="002A26BA">
        <w:rPr>
          <w:rFonts w:ascii="Arial" w:hAnsi="Arial" w:cs="Arial"/>
          <w:sz w:val="18"/>
          <w:szCs w:val="18"/>
          <w:lang w:val="en-GB"/>
        </w:rPr>
        <w:t xml:space="preserve"> </w:t>
      </w:r>
      <w:r w:rsidR="009D222F" w:rsidRPr="009D222F">
        <w:rPr>
          <w:rFonts w:ascii="Arial" w:hAnsi="Arial" w:cs="Arial"/>
          <w:sz w:val="18"/>
          <w:szCs w:val="18"/>
          <w:lang w:val="en-GB"/>
        </w:rPr>
        <w:t>significantly lower than the relevant benchmarks, an explanation of the reasons why this is not possible shall be provided.</w:t>
      </w:r>
      <w:r w:rsidR="002A26BA">
        <w:rPr>
          <w:rFonts w:ascii="Arial" w:hAnsi="Arial" w:cs="Arial"/>
          <w:sz w:val="18"/>
          <w:szCs w:val="18"/>
          <w:lang w:val="en-GB"/>
        </w:rPr>
        <w:t xml:space="preserve"> </w:t>
      </w:r>
      <w:r w:rsidR="009D222F" w:rsidRPr="009D222F">
        <w:rPr>
          <w:rFonts w:ascii="Arial" w:hAnsi="Arial" w:cs="Arial"/>
          <w:sz w:val="18"/>
          <w:szCs w:val="18"/>
          <w:lang w:val="en-GB"/>
        </w:rPr>
        <w:t>Benchmarks established for free allocation for activities falling within the scope of the Emissions Trading System, as set out in the</w:t>
      </w:r>
      <w:r w:rsidR="002A26BA">
        <w:rPr>
          <w:rFonts w:ascii="Arial" w:hAnsi="Arial" w:cs="Arial"/>
          <w:sz w:val="18"/>
          <w:szCs w:val="18"/>
          <w:lang w:val="en-GB"/>
        </w:rPr>
        <w:t xml:space="preserve"> </w:t>
      </w:r>
      <w:r w:rsidR="009D222F" w:rsidRPr="009D222F">
        <w:rPr>
          <w:rFonts w:ascii="Arial" w:hAnsi="Arial" w:cs="Arial"/>
          <w:sz w:val="18"/>
          <w:szCs w:val="18"/>
          <w:lang w:val="en-GB"/>
        </w:rPr>
        <w:t>Commission Implementing Regulation (EU) 2021/447</w:t>
      </w:r>
      <w:r w:rsidRPr="009D6C41">
        <w:rPr>
          <w:rFonts w:ascii="Arial" w:hAnsi="Arial" w:cs="Arial"/>
          <w:sz w:val="18"/>
          <w:szCs w:val="18"/>
          <w:lang w:val="en-GB"/>
        </w:rPr>
        <w:t xml:space="preserve">.  </w:t>
      </w:r>
    </w:p>
  </w:footnote>
  <w:footnote w:id="8">
    <w:p w14:paraId="1B9D3C3E" w14:textId="4FD0ADE6" w:rsidR="00213F80" w:rsidRPr="009D6C41" w:rsidRDefault="00213F80" w:rsidP="00213F80">
      <w:pPr>
        <w:pStyle w:val="FootnoteText"/>
        <w:jc w:val="both"/>
        <w:rPr>
          <w:rFonts w:ascii="Arial" w:hAnsi="Arial" w:cs="Arial"/>
          <w:sz w:val="18"/>
          <w:szCs w:val="18"/>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6C79BC" w:rsidRPr="006C79BC">
        <w:rPr>
          <w:rFonts w:ascii="Arial" w:hAnsi="Arial" w:cs="Arial"/>
          <w:sz w:val="18"/>
          <w:szCs w:val="18"/>
          <w:lang w:val="en-GB"/>
        </w:rPr>
        <w:t>Polluting vehicles are defined as non-zero-emission vehicles</w:t>
      </w:r>
      <w:r w:rsidRPr="009D6C41">
        <w:rPr>
          <w:rFonts w:ascii="Arial" w:hAnsi="Arial" w:cs="Arial"/>
          <w:sz w:val="18"/>
          <w:szCs w:val="18"/>
          <w:lang w:val="en-GB"/>
        </w:rPr>
        <w:t>.</w:t>
      </w:r>
    </w:p>
  </w:footnote>
  <w:footnote w:id="9">
    <w:p w14:paraId="7A1CD995" w14:textId="660AA121" w:rsidR="00213F80" w:rsidRPr="009D6C41" w:rsidRDefault="00213F80" w:rsidP="00E5057C">
      <w:pPr>
        <w:pStyle w:val="FootnoteText"/>
        <w:jc w:val="both"/>
        <w:rPr>
          <w:lang w:val="en-GB"/>
        </w:rPr>
      </w:pPr>
      <w:r w:rsidRPr="009D6C41">
        <w:rPr>
          <w:rStyle w:val="FootnoteReference"/>
          <w:rFonts w:ascii="Arial" w:hAnsi="Arial" w:cs="Arial"/>
          <w:sz w:val="18"/>
          <w:szCs w:val="18"/>
          <w:lang w:val="en-GB"/>
        </w:rPr>
        <w:footnoteRef/>
      </w:r>
      <w:r w:rsidRPr="009D6C41">
        <w:rPr>
          <w:rFonts w:ascii="Arial" w:hAnsi="Arial" w:cs="Arial"/>
          <w:sz w:val="18"/>
          <w:szCs w:val="18"/>
          <w:lang w:val="en-GB"/>
        </w:rPr>
        <w:t xml:space="preserve"> </w:t>
      </w:r>
      <w:r w:rsidR="00E5057C" w:rsidRPr="00E5057C">
        <w:rPr>
          <w:rFonts w:ascii="Arial" w:hAnsi="Arial" w:cs="Arial"/>
          <w:sz w:val="18"/>
          <w:szCs w:val="18"/>
          <w:lang w:val="en-GB"/>
        </w:rPr>
        <w:t>This exclusion does not apply to actions in plants exclusively dedicated to treating non-recyclable hazardous waste, and to existing</w:t>
      </w:r>
      <w:r w:rsidR="0059238C">
        <w:rPr>
          <w:rFonts w:ascii="Arial" w:hAnsi="Arial" w:cs="Arial"/>
          <w:sz w:val="18"/>
          <w:szCs w:val="18"/>
          <w:lang w:val="en-GB"/>
        </w:rPr>
        <w:t xml:space="preserve"> </w:t>
      </w:r>
      <w:r w:rsidR="00E5057C" w:rsidRPr="00E5057C">
        <w:rPr>
          <w:rFonts w:ascii="Arial" w:hAnsi="Arial" w:cs="Arial"/>
          <w:sz w:val="18"/>
          <w:szCs w:val="18"/>
          <w:lang w:val="en-GB"/>
        </w:rPr>
        <w:t>plants, where the actions under this measure are for the purpose of increasing energy efficiency, capturing exhaust gases for storage</w:t>
      </w:r>
      <w:r w:rsidR="0059238C">
        <w:rPr>
          <w:rFonts w:ascii="Arial" w:hAnsi="Arial" w:cs="Arial"/>
          <w:sz w:val="18"/>
          <w:szCs w:val="18"/>
          <w:lang w:val="en-GB"/>
        </w:rPr>
        <w:t xml:space="preserve"> </w:t>
      </w:r>
      <w:r w:rsidR="00E5057C" w:rsidRPr="00E5057C">
        <w:rPr>
          <w:rFonts w:ascii="Arial" w:hAnsi="Arial" w:cs="Arial"/>
          <w:sz w:val="18"/>
          <w:szCs w:val="18"/>
          <w:lang w:val="en-GB"/>
        </w:rPr>
        <w:t>or use or recovering materials from incineration ashes, provided such actions under this measure do not result in an increase of the</w:t>
      </w:r>
      <w:r w:rsidR="0059238C">
        <w:rPr>
          <w:rFonts w:ascii="Arial" w:hAnsi="Arial" w:cs="Arial"/>
          <w:sz w:val="18"/>
          <w:szCs w:val="18"/>
          <w:lang w:val="en-GB"/>
        </w:rPr>
        <w:t xml:space="preserve"> </w:t>
      </w:r>
      <w:r w:rsidR="00E5057C" w:rsidRPr="00E5057C">
        <w:rPr>
          <w:rFonts w:ascii="Arial" w:hAnsi="Arial" w:cs="Arial"/>
          <w:sz w:val="18"/>
          <w:szCs w:val="18"/>
          <w:lang w:val="en-GB"/>
        </w:rPr>
        <w:t>plants’ waste processing capacity or in an extension of the lifetime of the plants; for which evidence is provided at plant level</w:t>
      </w:r>
      <w:r w:rsidRPr="009D6C41">
        <w:rPr>
          <w:rFonts w:ascii="Arial" w:hAnsi="Arial" w:cs="Arial"/>
          <w:sz w:val="18"/>
          <w:szCs w:val="18"/>
          <w:lang w:val="en-GB"/>
        </w:rPr>
        <w:t>.</w:t>
      </w:r>
      <w:r w:rsidRPr="009D6C41">
        <w:rPr>
          <w:sz w:val="18"/>
          <w:szCs w:val="18"/>
          <w:lang w:val="en-GB"/>
        </w:rPr>
        <w:t xml:space="preserve"> </w:t>
      </w:r>
      <w:r w:rsidRPr="009D6C41">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F5D07" w14:textId="7E063417" w:rsidR="002E14F4" w:rsidRPr="002E14F4" w:rsidRDefault="00251582" w:rsidP="00373B17">
    <w:pPr>
      <w:pStyle w:val="Header"/>
      <w:jc w:val="right"/>
      <w:rPr>
        <w:rFonts w:ascii="Arial" w:hAnsi="Arial" w:cs="Arial"/>
        <w:sz w:val="20"/>
        <w:szCs w:val="20"/>
      </w:rPr>
    </w:pPr>
    <w:proofErr w:type="spellStart"/>
    <w:r>
      <w:rPr>
        <w:rFonts w:ascii="Arial" w:hAnsi="Arial" w:cs="Arial"/>
        <w:sz w:val="20"/>
        <w:szCs w:val="20"/>
      </w:rPr>
      <w:t>Private</w:t>
    </w:r>
    <w:proofErr w:type="spellEnd"/>
    <w:r>
      <w:rPr>
        <w:rFonts w:ascii="Arial" w:hAnsi="Arial" w:cs="Arial"/>
        <w:sz w:val="20"/>
        <w:szCs w:val="20"/>
      </w:rPr>
      <w:t xml:space="preserve"> </w:t>
    </w:r>
    <w:proofErr w:type="spellStart"/>
    <w:r>
      <w:rPr>
        <w:rFonts w:ascii="Arial" w:hAnsi="Arial" w:cs="Arial"/>
        <w:sz w:val="20"/>
        <w:szCs w:val="20"/>
      </w:rPr>
      <w:t>Sector</w:t>
    </w:r>
    <w:proofErr w:type="spellEnd"/>
    <w:r>
      <w:rPr>
        <w:rFonts w:ascii="Arial" w:hAnsi="Arial" w:cs="Arial"/>
        <w:sz w:val="20"/>
        <w:szCs w:val="20"/>
      </w:rPr>
      <w:t xml:space="preserve"> </w:t>
    </w:r>
    <w:proofErr w:type="spellStart"/>
    <w:r>
      <w:rPr>
        <w:rFonts w:ascii="Arial" w:hAnsi="Arial" w:cs="Arial"/>
        <w:sz w:val="20"/>
        <w:szCs w:val="20"/>
      </w:rPr>
      <w:t>Investment</w:t>
    </w:r>
    <w:proofErr w:type="spellEnd"/>
    <w:r>
      <w:rPr>
        <w:rFonts w:ascii="Arial" w:hAnsi="Arial" w:cs="Arial"/>
        <w:sz w:val="20"/>
        <w:szCs w:val="20"/>
      </w:rPr>
      <w:t xml:space="preserve"> – Schedule 1</w:t>
    </w:r>
  </w:p>
  <w:p w14:paraId="02723259" w14:textId="77777777" w:rsidR="00EC3EB4" w:rsidRPr="00373B17" w:rsidRDefault="00EC3EB4" w:rsidP="00373B17">
    <w:pPr>
      <w:pStyle w:val="Header"/>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06A"/>
    <w:multiLevelType w:val="hybridMultilevel"/>
    <w:tmpl w:val="CDD85B2A"/>
    <w:lvl w:ilvl="0" w:tplc="688AD6BE">
      <w:start w:val="1"/>
      <w:numFmt w:val="lowerRoman"/>
      <w:lvlText w:val="%1."/>
      <w:lvlJc w:val="left"/>
      <w:pPr>
        <w:ind w:left="2159" w:hanging="720"/>
      </w:pPr>
      <w:rPr>
        <w:rFonts w:hint="default"/>
      </w:rPr>
    </w:lvl>
    <w:lvl w:ilvl="1" w:tplc="041A0019" w:tentative="1">
      <w:start w:val="1"/>
      <w:numFmt w:val="lowerLetter"/>
      <w:lvlText w:val="%2."/>
      <w:lvlJc w:val="left"/>
      <w:pPr>
        <w:ind w:left="2519" w:hanging="360"/>
      </w:pPr>
    </w:lvl>
    <w:lvl w:ilvl="2" w:tplc="041A001B" w:tentative="1">
      <w:start w:val="1"/>
      <w:numFmt w:val="lowerRoman"/>
      <w:lvlText w:val="%3."/>
      <w:lvlJc w:val="right"/>
      <w:pPr>
        <w:ind w:left="3239" w:hanging="180"/>
      </w:pPr>
    </w:lvl>
    <w:lvl w:ilvl="3" w:tplc="041A000F" w:tentative="1">
      <w:start w:val="1"/>
      <w:numFmt w:val="decimal"/>
      <w:lvlText w:val="%4."/>
      <w:lvlJc w:val="left"/>
      <w:pPr>
        <w:ind w:left="3959" w:hanging="360"/>
      </w:pPr>
    </w:lvl>
    <w:lvl w:ilvl="4" w:tplc="041A0019" w:tentative="1">
      <w:start w:val="1"/>
      <w:numFmt w:val="lowerLetter"/>
      <w:lvlText w:val="%5."/>
      <w:lvlJc w:val="left"/>
      <w:pPr>
        <w:ind w:left="4679" w:hanging="360"/>
      </w:pPr>
    </w:lvl>
    <w:lvl w:ilvl="5" w:tplc="041A001B" w:tentative="1">
      <w:start w:val="1"/>
      <w:numFmt w:val="lowerRoman"/>
      <w:lvlText w:val="%6."/>
      <w:lvlJc w:val="right"/>
      <w:pPr>
        <w:ind w:left="5399" w:hanging="180"/>
      </w:pPr>
    </w:lvl>
    <w:lvl w:ilvl="6" w:tplc="041A000F" w:tentative="1">
      <w:start w:val="1"/>
      <w:numFmt w:val="decimal"/>
      <w:lvlText w:val="%7."/>
      <w:lvlJc w:val="left"/>
      <w:pPr>
        <w:ind w:left="6119" w:hanging="360"/>
      </w:pPr>
    </w:lvl>
    <w:lvl w:ilvl="7" w:tplc="041A0019" w:tentative="1">
      <w:start w:val="1"/>
      <w:numFmt w:val="lowerLetter"/>
      <w:lvlText w:val="%8."/>
      <w:lvlJc w:val="left"/>
      <w:pPr>
        <w:ind w:left="6839" w:hanging="360"/>
      </w:pPr>
    </w:lvl>
    <w:lvl w:ilvl="8" w:tplc="041A001B" w:tentative="1">
      <w:start w:val="1"/>
      <w:numFmt w:val="lowerRoman"/>
      <w:lvlText w:val="%9."/>
      <w:lvlJc w:val="right"/>
      <w:pPr>
        <w:ind w:left="7559" w:hanging="180"/>
      </w:pPr>
    </w:lvl>
  </w:abstractNum>
  <w:abstractNum w:abstractNumId="1" w15:restartNumberingAfterBreak="0">
    <w:nsid w:val="097B700E"/>
    <w:multiLevelType w:val="hybridMultilevel"/>
    <w:tmpl w:val="0940165C"/>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936DF4"/>
    <w:multiLevelType w:val="hybridMultilevel"/>
    <w:tmpl w:val="F7669FB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FCD65A1"/>
    <w:multiLevelType w:val="hybridMultilevel"/>
    <w:tmpl w:val="7A96369A"/>
    <w:lvl w:ilvl="0" w:tplc="CF6E6AD2">
      <w:start w:val="1"/>
      <w:numFmt w:val="decimal"/>
      <w:lvlText w:val="%1."/>
      <w:lvlJc w:val="left"/>
      <w:pPr>
        <w:ind w:left="720" w:hanging="360"/>
      </w:pPr>
      <w:rPr>
        <w:rFonts w:eastAsiaTheme="majorEastAsia"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13CBE"/>
    <w:multiLevelType w:val="hybridMultilevel"/>
    <w:tmpl w:val="2646A63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1C7E44B5"/>
    <w:multiLevelType w:val="multilevel"/>
    <w:tmpl w:val="99ACFFC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90D0D"/>
    <w:multiLevelType w:val="hybridMultilevel"/>
    <w:tmpl w:val="8514E82C"/>
    <w:lvl w:ilvl="0" w:tplc="9CDC4AD8">
      <w:start w:val="1"/>
      <w:numFmt w:val="decimal"/>
      <w:lvlText w:val="%1."/>
      <w:lvlJc w:val="left"/>
      <w:pPr>
        <w:ind w:left="690" w:hanging="360"/>
      </w:pPr>
      <w:rPr>
        <w:rFonts w:ascii="Arial" w:eastAsiaTheme="majorEastAsia" w:hAnsi="Arial" w:cs="Arial"/>
      </w:rPr>
    </w:lvl>
    <w:lvl w:ilvl="1" w:tplc="041A0003" w:tentative="1">
      <w:start w:val="1"/>
      <w:numFmt w:val="bullet"/>
      <w:lvlText w:val="o"/>
      <w:lvlJc w:val="left"/>
      <w:pPr>
        <w:ind w:left="1410" w:hanging="360"/>
      </w:pPr>
      <w:rPr>
        <w:rFonts w:ascii="Courier New" w:hAnsi="Courier New" w:cs="Courier New" w:hint="default"/>
      </w:rPr>
    </w:lvl>
    <w:lvl w:ilvl="2" w:tplc="041A0005" w:tentative="1">
      <w:start w:val="1"/>
      <w:numFmt w:val="bullet"/>
      <w:lvlText w:val=""/>
      <w:lvlJc w:val="left"/>
      <w:pPr>
        <w:ind w:left="2130" w:hanging="360"/>
      </w:pPr>
      <w:rPr>
        <w:rFonts w:ascii="Wingdings" w:hAnsi="Wingdings" w:hint="default"/>
      </w:rPr>
    </w:lvl>
    <w:lvl w:ilvl="3" w:tplc="041A0001" w:tentative="1">
      <w:start w:val="1"/>
      <w:numFmt w:val="bullet"/>
      <w:lvlText w:val=""/>
      <w:lvlJc w:val="left"/>
      <w:pPr>
        <w:ind w:left="2850" w:hanging="360"/>
      </w:pPr>
      <w:rPr>
        <w:rFonts w:ascii="Symbol" w:hAnsi="Symbol" w:hint="default"/>
      </w:rPr>
    </w:lvl>
    <w:lvl w:ilvl="4" w:tplc="041A0003" w:tentative="1">
      <w:start w:val="1"/>
      <w:numFmt w:val="bullet"/>
      <w:lvlText w:val="o"/>
      <w:lvlJc w:val="left"/>
      <w:pPr>
        <w:ind w:left="3570" w:hanging="360"/>
      </w:pPr>
      <w:rPr>
        <w:rFonts w:ascii="Courier New" w:hAnsi="Courier New" w:cs="Courier New" w:hint="default"/>
      </w:rPr>
    </w:lvl>
    <w:lvl w:ilvl="5" w:tplc="041A0005" w:tentative="1">
      <w:start w:val="1"/>
      <w:numFmt w:val="bullet"/>
      <w:lvlText w:val=""/>
      <w:lvlJc w:val="left"/>
      <w:pPr>
        <w:ind w:left="4290" w:hanging="360"/>
      </w:pPr>
      <w:rPr>
        <w:rFonts w:ascii="Wingdings" w:hAnsi="Wingdings" w:hint="default"/>
      </w:rPr>
    </w:lvl>
    <w:lvl w:ilvl="6" w:tplc="041A0001" w:tentative="1">
      <w:start w:val="1"/>
      <w:numFmt w:val="bullet"/>
      <w:lvlText w:val=""/>
      <w:lvlJc w:val="left"/>
      <w:pPr>
        <w:ind w:left="5010" w:hanging="360"/>
      </w:pPr>
      <w:rPr>
        <w:rFonts w:ascii="Symbol" w:hAnsi="Symbol" w:hint="default"/>
      </w:rPr>
    </w:lvl>
    <w:lvl w:ilvl="7" w:tplc="041A0003" w:tentative="1">
      <w:start w:val="1"/>
      <w:numFmt w:val="bullet"/>
      <w:lvlText w:val="o"/>
      <w:lvlJc w:val="left"/>
      <w:pPr>
        <w:ind w:left="5730" w:hanging="360"/>
      </w:pPr>
      <w:rPr>
        <w:rFonts w:ascii="Courier New" w:hAnsi="Courier New" w:cs="Courier New" w:hint="default"/>
      </w:rPr>
    </w:lvl>
    <w:lvl w:ilvl="8" w:tplc="041A0005" w:tentative="1">
      <w:start w:val="1"/>
      <w:numFmt w:val="bullet"/>
      <w:lvlText w:val=""/>
      <w:lvlJc w:val="left"/>
      <w:pPr>
        <w:ind w:left="6450" w:hanging="360"/>
      </w:pPr>
      <w:rPr>
        <w:rFonts w:ascii="Wingdings" w:hAnsi="Wingdings" w:hint="default"/>
      </w:rPr>
    </w:lvl>
  </w:abstractNum>
  <w:abstractNum w:abstractNumId="7" w15:restartNumberingAfterBreak="0">
    <w:nsid w:val="22BE117C"/>
    <w:multiLevelType w:val="hybridMultilevel"/>
    <w:tmpl w:val="0FA8DB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5A02EE8"/>
    <w:multiLevelType w:val="hybridMultilevel"/>
    <w:tmpl w:val="916446E6"/>
    <w:lvl w:ilvl="0" w:tplc="B0647122">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9" w15:restartNumberingAfterBreak="0">
    <w:nsid w:val="26DD1F09"/>
    <w:multiLevelType w:val="multilevel"/>
    <w:tmpl w:val="6C66E65C"/>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eastAsiaTheme="majorEastAsia" w:hint="default"/>
        <w:b/>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E278DC"/>
    <w:multiLevelType w:val="hybridMultilevel"/>
    <w:tmpl w:val="31D04B4A"/>
    <w:lvl w:ilvl="0" w:tplc="0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CF14DC3"/>
    <w:multiLevelType w:val="hybridMultilevel"/>
    <w:tmpl w:val="01AEE0F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303B078C"/>
    <w:multiLevelType w:val="hybridMultilevel"/>
    <w:tmpl w:val="6062191E"/>
    <w:lvl w:ilvl="0" w:tplc="0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9872200"/>
    <w:multiLevelType w:val="multilevel"/>
    <w:tmpl w:val="99ACFFC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156295"/>
    <w:multiLevelType w:val="hybridMultilevel"/>
    <w:tmpl w:val="E458AEEC"/>
    <w:lvl w:ilvl="0" w:tplc="4DAC1004">
      <w:start w:val="1"/>
      <w:numFmt w:val="lowerLetter"/>
      <w:lvlText w:val="%1)"/>
      <w:lvlJc w:val="left"/>
      <w:pPr>
        <w:ind w:left="720" w:hanging="360"/>
      </w:pPr>
      <w:rPr>
        <w:rFonts w:eastAsiaTheme="majorEastAsia" w:hint="default"/>
        <w:b/>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7A1571"/>
    <w:multiLevelType w:val="hybridMultilevel"/>
    <w:tmpl w:val="92426D8C"/>
    <w:lvl w:ilvl="0" w:tplc="041A001B">
      <w:start w:val="1"/>
      <w:numFmt w:val="lowerRoman"/>
      <w:lvlText w:val="%1."/>
      <w:lvlJc w:val="right"/>
      <w:pPr>
        <w:ind w:left="1599" w:hanging="360"/>
      </w:pPr>
    </w:lvl>
    <w:lvl w:ilvl="1" w:tplc="041A0019" w:tentative="1">
      <w:start w:val="1"/>
      <w:numFmt w:val="lowerLetter"/>
      <w:lvlText w:val="%2."/>
      <w:lvlJc w:val="left"/>
      <w:pPr>
        <w:ind w:left="2319" w:hanging="360"/>
      </w:pPr>
    </w:lvl>
    <w:lvl w:ilvl="2" w:tplc="041A001B" w:tentative="1">
      <w:start w:val="1"/>
      <w:numFmt w:val="lowerRoman"/>
      <w:lvlText w:val="%3."/>
      <w:lvlJc w:val="right"/>
      <w:pPr>
        <w:ind w:left="3039" w:hanging="180"/>
      </w:pPr>
    </w:lvl>
    <w:lvl w:ilvl="3" w:tplc="041A000F" w:tentative="1">
      <w:start w:val="1"/>
      <w:numFmt w:val="decimal"/>
      <w:lvlText w:val="%4."/>
      <w:lvlJc w:val="left"/>
      <w:pPr>
        <w:ind w:left="3759" w:hanging="360"/>
      </w:pPr>
    </w:lvl>
    <w:lvl w:ilvl="4" w:tplc="041A0019" w:tentative="1">
      <w:start w:val="1"/>
      <w:numFmt w:val="lowerLetter"/>
      <w:lvlText w:val="%5."/>
      <w:lvlJc w:val="left"/>
      <w:pPr>
        <w:ind w:left="4479" w:hanging="360"/>
      </w:pPr>
    </w:lvl>
    <w:lvl w:ilvl="5" w:tplc="041A001B" w:tentative="1">
      <w:start w:val="1"/>
      <w:numFmt w:val="lowerRoman"/>
      <w:lvlText w:val="%6."/>
      <w:lvlJc w:val="right"/>
      <w:pPr>
        <w:ind w:left="5199" w:hanging="180"/>
      </w:pPr>
    </w:lvl>
    <w:lvl w:ilvl="6" w:tplc="041A000F" w:tentative="1">
      <w:start w:val="1"/>
      <w:numFmt w:val="decimal"/>
      <w:lvlText w:val="%7."/>
      <w:lvlJc w:val="left"/>
      <w:pPr>
        <w:ind w:left="5919" w:hanging="360"/>
      </w:pPr>
    </w:lvl>
    <w:lvl w:ilvl="7" w:tplc="041A0019" w:tentative="1">
      <w:start w:val="1"/>
      <w:numFmt w:val="lowerLetter"/>
      <w:lvlText w:val="%8."/>
      <w:lvlJc w:val="left"/>
      <w:pPr>
        <w:ind w:left="6639" w:hanging="360"/>
      </w:pPr>
    </w:lvl>
    <w:lvl w:ilvl="8" w:tplc="041A001B" w:tentative="1">
      <w:start w:val="1"/>
      <w:numFmt w:val="lowerRoman"/>
      <w:lvlText w:val="%9."/>
      <w:lvlJc w:val="right"/>
      <w:pPr>
        <w:ind w:left="7359" w:hanging="180"/>
      </w:pPr>
    </w:lvl>
  </w:abstractNum>
  <w:abstractNum w:abstractNumId="16" w15:restartNumberingAfterBreak="0">
    <w:nsid w:val="3F12448C"/>
    <w:multiLevelType w:val="hybridMultilevel"/>
    <w:tmpl w:val="DFA8DCCA"/>
    <w:lvl w:ilvl="0" w:tplc="041A001B">
      <w:start w:val="1"/>
      <w:numFmt w:val="lowerRoman"/>
      <w:lvlText w:val="%1."/>
      <w:lvlJc w:val="right"/>
      <w:pPr>
        <w:ind w:left="1599" w:hanging="360"/>
      </w:pPr>
    </w:lvl>
    <w:lvl w:ilvl="1" w:tplc="041A0019" w:tentative="1">
      <w:start w:val="1"/>
      <w:numFmt w:val="lowerLetter"/>
      <w:lvlText w:val="%2."/>
      <w:lvlJc w:val="left"/>
      <w:pPr>
        <w:ind w:left="2319" w:hanging="360"/>
      </w:pPr>
    </w:lvl>
    <w:lvl w:ilvl="2" w:tplc="041A001B" w:tentative="1">
      <w:start w:val="1"/>
      <w:numFmt w:val="lowerRoman"/>
      <w:lvlText w:val="%3."/>
      <w:lvlJc w:val="right"/>
      <w:pPr>
        <w:ind w:left="3039" w:hanging="180"/>
      </w:pPr>
    </w:lvl>
    <w:lvl w:ilvl="3" w:tplc="041A000F" w:tentative="1">
      <w:start w:val="1"/>
      <w:numFmt w:val="decimal"/>
      <w:lvlText w:val="%4."/>
      <w:lvlJc w:val="left"/>
      <w:pPr>
        <w:ind w:left="3759" w:hanging="360"/>
      </w:pPr>
    </w:lvl>
    <w:lvl w:ilvl="4" w:tplc="041A0019" w:tentative="1">
      <w:start w:val="1"/>
      <w:numFmt w:val="lowerLetter"/>
      <w:lvlText w:val="%5."/>
      <w:lvlJc w:val="left"/>
      <w:pPr>
        <w:ind w:left="4479" w:hanging="360"/>
      </w:pPr>
    </w:lvl>
    <w:lvl w:ilvl="5" w:tplc="041A001B" w:tentative="1">
      <w:start w:val="1"/>
      <w:numFmt w:val="lowerRoman"/>
      <w:lvlText w:val="%6."/>
      <w:lvlJc w:val="right"/>
      <w:pPr>
        <w:ind w:left="5199" w:hanging="180"/>
      </w:pPr>
    </w:lvl>
    <w:lvl w:ilvl="6" w:tplc="041A000F" w:tentative="1">
      <w:start w:val="1"/>
      <w:numFmt w:val="decimal"/>
      <w:lvlText w:val="%7."/>
      <w:lvlJc w:val="left"/>
      <w:pPr>
        <w:ind w:left="5919" w:hanging="360"/>
      </w:pPr>
    </w:lvl>
    <w:lvl w:ilvl="7" w:tplc="041A0019" w:tentative="1">
      <w:start w:val="1"/>
      <w:numFmt w:val="lowerLetter"/>
      <w:lvlText w:val="%8."/>
      <w:lvlJc w:val="left"/>
      <w:pPr>
        <w:ind w:left="6639" w:hanging="360"/>
      </w:pPr>
    </w:lvl>
    <w:lvl w:ilvl="8" w:tplc="041A001B" w:tentative="1">
      <w:start w:val="1"/>
      <w:numFmt w:val="lowerRoman"/>
      <w:lvlText w:val="%9."/>
      <w:lvlJc w:val="right"/>
      <w:pPr>
        <w:ind w:left="7359" w:hanging="180"/>
      </w:pPr>
    </w:lvl>
  </w:abstractNum>
  <w:abstractNum w:abstractNumId="17" w15:restartNumberingAfterBreak="0">
    <w:nsid w:val="43BF3BF7"/>
    <w:multiLevelType w:val="hybridMultilevel"/>
    <w:tmpl w:val="D124F83C"/>
    <w:lvl w:ilvl="0" w:tplc="DECAAD46">
      <w:start w:val="1"/>
      <w:numFmt w:val="low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48325A72"/>
    <w:multiLevelType w:val="hybridMultilevel"/>
    <w:tmpl w:val="8EA241DE"/>
    <w:lvl w:ilvl="0" w:tplc="4AEEDAC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4A267F"/>
    <w:multiLevelType w:val="hybridMultilevel"/>
    <w:tmpl w:val="3A808E6A"/>
    <w:lvl w:ilvl="0" w:tplc="DFBCE6CC">
      <w:start w:val="3"/>
      <w:numFmt w:val="bullet"/>
      <w:lvlText w:val="–"/>
      <w:lvlJc w:val="left"/>
      <w:pPr>
        <w:ind w:left="360" w:hanging="360"/>
      </w:pPr>
      <w:rPr>
        <w:rFonts w:ascii="Gill Sans MT" w:eastAsia="Gill Sans MT" w:hAnsi="Gill Sans MT" w:cs="Gill Sans MT"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0" w15:restartNumberingAfterBreak="0">
    <w:nsid w:val="58440369"/>
    <w:multiLevelType w:val="hybridMultilevel"/>
    <w:tmpl w:val="4FF28634"/>
    <w:lvl w:ilvl="0" w:tplc="4D6C929E">
      <w:start w:val="2"/>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5BEB1A1D"/>
    <w:multiLevelType w:val="hybridMultilevel"/>
    <w:tmpl w:val="E2E407A4"/>
    <w:lvl w:ilvl="0" w:tplc="041A001B">
      <w:start w:val="1"/>
      <w:numFmt w:val="lowerRoman"/>
      <w:lvlText w:val="%1."/>
      <w:lvlJc w:val="right"/>
      <w:pPr>
        <w:ind w:left="1599" w:hanging="360"/>
      </w:pPr>
    </w:lvl>
    <w:lvl w:ilvl="1" w:tplc="041A0019" w:tentative="1">
      <w:start w:val="1"/>
      <w:numFmt w:val="lowerLetter"/>
      <w:lvlText w:val="%2."/>
      <w:lvlJc w:val="left"/>
      <w:pPr>
        <w:ind w:left="2319" w:hanging="360"/>
      </w:pPr>
    </w:lvl>
    <w:lvl w:ilvl="2" w:tplc="041A001B" w:tentative="1">
      <w:start w:val="1"/>
      <w:numFmt w:val="lowerRoman"/>
      <w:lvlText w:val="%3."/>
      <w:lvlJc w:val="right"/>
      <w:pPr>
        <w:ind w:left="3039" w:hanging="180"/>
      </w:pPr>
    </w:lvl>
    <w:lvl w:ilvl="3" w:tplc="041A000F" w:tentative="1">
      <w:start w:val="1"/>
      <w:numFmt w:val="decimal"/>
      <w:lvlText w:val="%4."/>
      <w:lvlJc w:val="left"/>
      <w:pPr>
        <w:ind w:left="3759" w:hanging="360"/>
      </w:pPr>
    </w:lvl>
    <w:lvl w:ilvl="4" w:tplc="041A0019" w:tentative="1">
      <w:start w:val="1"/>
      <w:numFmt w:val="lowerLetter"/>
      <w:lvlText w:val="%5."/>
      <w:lvlJc w:val="left"/>
      <w:pPr>
        <w:ind w:left="4479" w:hanging="360"/>
      </w:pPr>
    </w:lvl>
    <w:lvl w:ilvl="5" w:tplc="041A001B" w:tentative="1">
      <w:start w:val="1"/>
      <w:numFmt w:val="lowerRoman"/>
      <w:lvlText w:val="%6."/>
      <w:lvlJc w:val="right"/>
      <w:pPr>
        <w:ind w:left="5199" w:hanging="180"/>
      </w:pPr>
    </w:lvl>
    <w:lvl w:ilvl="6" w:tplc="041A000F" w:tentative="1">
      <w:start w:val="1"/>
      <w:numFmt w:val="decimal"/>
      <w:lvlText w:val="%7."/>
      <w:lvlJc w:val="left"/>
      <w:pPr>
        <w:ind w:left="5919" w:hanging="360"/>
      </w:pPr>
    </w:lvl>
    <w:lvl w:ilvl="7" w:tplc="041A0019" w:tentative="1">
      <w:start w:val="1"/>
      <w:numFmt w:val="lowerLetter"/>
      <w:lvlText w:val="%8."/>
      <w:lvlJc w:val="left"/>
      <w:pPr>
        <w:ind w:left="6639" w:hanging="360"/>
      </w:pPr>
    </w:lvl>
    <w:lvl w:ilvl="8" w:tplc="041A001B" w:tentative="1">
      <w:start w:val="1"/>
      <w:numFmt w:val="lowerRoman"/>
      <w:lvlText w:val="%9."/>
      <w:lvlJc w:val="right"/>
      <w:pPr>
        <w:ind w:left="7359" w:hanging="180"/>
      </w:pPr>
    </w:lvl>
  </w:abstractNum>
  <w:abstractNum w:abstractNumId="22" w15:restartNumberingAfterBreak="0">
    <w:nsid w:val="5CE33E1D"/>
    <w:multiLevelType w:val="hybridMultilevel"/>
    <w:tmpl w:val="0158EDC8"/>
    <w:lvl w:ilvl="0" w:tplc="554CA65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8485A57"/>
    <w:multiLevelType w:val="hybridMultilevel"/>
    <w:tmpl w:val="510C8F60"/>
    <w:lvl w:ilvl="0" w:tplc="004257EC">
      <w:start w:val="1"/>
      <w:numFmt w:val="decimal"/>
      <w:lvlText w:val="%1."/>
      <w:lvlJc w:val="left"/>
      <w:pPr>
        <w:ind w:left="720" w:hanging="360"/>
      </w:pPr>
      <w:rPr>
        <w:rFonts w:ascii="Arial" w:eastAsiaTheme="majorEastAsia" w:hAnsi="Arial" w:cs="Arial"/>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A063F04"/>
    <w:multiLevelType w:val="hybridMultilevel"/>
    <w:tmpl w:val="878EDFF4"/>
    <w:lvl w:ilvl="0" w:tplc="041A001B">
      <w:start w:val="1"/>
      <w:numFmt w:val="lowerRoman"/>
      <w:lvlText w:val="%1."/>
      <w:lvlJc w:val="right"/>
      <w:pPr>
        <w:ind w:left="1776" w:hanging="360"/>
      </w:p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5" w15:restartNumberingAfterBreak="0">
    <w:nsid w:val="6A5352DD"/>
    <w:multiLevelType w:val="hybridMultilevel"/>
    <w:tmpl w:val="0AA47B7A"/>
    <w:lvl w:ilvl="0" w:tplc="041A001B">
      <w:start w:val="1"/>
      <w:numFmt w:val="lowerRoman"/>
      <w:lvlText w:val="%1."/>
      <w:lvlJc w:val="righ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AFB71CA"/>
    <w:multiLevelType w:val="hybridMultilevel"/>
    <w:tmpl w:val="EB26A1CE"/>
    <w:lvl w:ilvl="0" w:tplc="041A0001">
      <w:start w:val="1"/>
      <w:numFmt w:val="bullet"/>
      <w:lvlText w:val=""/>
      <w:lvlJc w:val="left"/>
      <w:pPr>
        <w:ind w:left="1410" w:hanging="360"/>
      </w:pPr>
      <w:rPr>
        <w:rFonts w:ascii="Symbol" w:hAnsi="Symbol" w:hint="default"/>
      </w:rPr>
    </w:lvl>
    <w:lvl w:ilvl="1" w:tplc="041A0003" w:tentative="1">
      <w:start w:val="1"/>
      <w:numFmt w:val="bullet"/>
      <w:lvlText w:val="o"/>
      <w:lvlJc w:val="left"/>
      <w:pPr>
        <w:ind w:left="2130" w:hanging="360"/>
      </w:pPr>
      <w:rPr>
        <w:rFonts w:ascii="Courier New" w:hAnsi="Courier New" w:cs="Courier New" w:hint="default"/>
      </w:rPr>
    </w:lvl>
    <w:lvl w:ilvl="2" w:tplc="041A0005" w:tentative="1">
      <w:start w:val="1"/>
      <w:numFmt w:val="bullet"/>
      <w:lvlText w:val=""/>
      <w:lvlJc w:val="left"/>
      <w:pPr>
        <w:ind w:left="2850" w:hanging="360"/>
      </w:pPr>
      <w:rPr>
        <w:rFonts w:ascii="Wingdings" w:hAnsi="Wingdings" w:hint="default"/>
      </w:rPr>
    </w:lvl>
    <w:lvl w:ilvl="3" w:tplc="041A0001" w:tentative="1">
      <w:start w:val="1"/>
      <w:numFmt w:val="bullet"/>
      <w:lvlText w:val=""/>
      <w:lvlJc w:val="left"/>
      <w:pPr>
        <w:ind w:left="3570" w:hanging="360"/>
      </w:pPr>
      <w:rPr>
        <w:rFonts w:ascii="Symbol" w:hAnsi="Symbol" w:hint="default"/>
      </w:rPr>
    </w:lvl>
    <w:lvl w:ilvl="4" w:tplc="041A0003" w:tentative="1">
      <w:start w:val="1"/>
      <w:numFmt w:val="bullet"/>
      <w:lvlText w:val="o"/>
      <w:lvlJc w:val="left"/>
      <w:pPr>
        <w:ind w:left="4290" w:hanging="360"/>
      </w:pPr>
      <w:rPr>
        <w:rFonts w:ascii="Courier New" w:hAnsi="Courier New" w:cs="Courier New" w:hint="default"/>
      </w:rPr>
    </w:lvl>
    <w:lvl w:ilvl="5" w:tplc="041A0005" w:tentative="1">
      <w:start w:val="1"/>
      <w:numFmt w:val="bullet"/>
      <w:lvlText w:val=""/>
      <w:lvlJc w:val="left"/>
      <w:pPr>
        <w:ind w:left="5010" w:hanging="360"/>
      </w:pPr>
      <w:rPr>
        <w:rFonts w:ascii="Wingdings" w:hAnsi="Wingdings" w:hint="default"/>
      </w:rPr>
    </w:lvl>
    <w:lvl w:ilvl="6" w:tplc="041A0001" w:tentative="1">
      <w:start w:val="1"/>
      <w:numFmt w:val="bullet"/>
      <w:lvlText w:val=""/>
      <w:lvlJc w:val="left"/>
      <w:pPr>
        <w:ind w:left="5730" w:hanging="360"/>
      </w:pPr>
      <w:rPr>
        <w:rFonts w:ascii="Symbol" w:hAnsi="Symbol" w:hint="default"/>
      </w:rPr>
    </w:lvl>
    <w:lvl w:ilvl="7" w:tplc="041A0003" w:tentative="1">
      <w:start w:val="1"/>
      <w:numFmt w:val="bullet"/>
      <w:lvlText w:val="o"/>
      <w:lvlJc w:val="left"/>
      <w:pPr>
        <w:ind w:left="6450" w:hanging="360"/>
      </w:pPr>
      <w:rPr>
        <w:rFonts w:ascii="Courier New" w:hAnsi="Courier New" w:cs="Courier New" w:hint="default"/>
      </w:rPr>
    </w:lvl>
    <w:lvl w:ilvl="8" w:tplc="041A0005" w:tentative="1">
      <w:start w:val="1"/>
      <w:numFmt w:val="bullet"/>
      <w:lvlText w:val=""/>
      <w:lvlJc w:val="left"/>
      <w:pPr>
        <w:ind w:left="7170" w:hanging="360"/>
      </w:pPr>
      <w:rPr>
        <w:rFonts w:ascii="Wingdings" w:hAnsi="Wingdings" w:hint="default"/>
      </w:rPr>
    </w:lvl>
  </w:abstractNum>
  <w:abstractNum w:abstractNumId="27" w15:restartNumberingAfterBreak="0">
    <w:nsid w:val="705B3520"/>
    <w:multiLevelType w:val="hybridMultilevel"/>
    <w:tmpl w:val="31247730"/>
    <w:lvl w:ilvl="0" w:tplc="B0DC8BAA">
      <w:start w:val="1"/>
      <w:numFmt w:val="decimal"/>
      <w:lvlText w:val="(%1)"/>
      <w:lvlJc w:val="left"/>
      <w:pPr>
        <w:ind w:left="879" w:hanging="603"/>
      </w:pPr>
      <w:rPr>
        <w:rFonts w:ascii="Arial" w:eastAsia="Arial" w:hAnsi="Arial" w:cs="Arial" w:hint="default"/>
        <w:b w:val="0"/>
        <w:bCs w:val="0"/>
        <w:i w:val="0"/>
        <w:iCs w:val="0"/>
        <w:w w:val="99"/>
        <w:sz w:val="20"/>
        <w:szCs w:val="20"/>
      </w:rPr>
    </w:lvl>
    <w:lvl w:ilvl="1" w:tplc="A4945590">
      <w:start w:val="1"/>
      <w:numFmt w:val="decimal"/>
      <w:lvlText w:val="%2."/>
      <w:lvlJc w:val="left"/>
      <w:pPr>
        <w:ind w:left="836" w:hanging="360"/>
      </w:pPr>
      <w:rPr>
        <w:rFonts w:ascii="Arial" w:eastAsia="Arial" w:hAnsi="Arial" w:cs="Arial" w:hint="default"/>
        <w:b/>
        <w:bCs/>
        <w:i w:val="0"/>
        <w:iCs w:val="0"/>
        <w:spacing w:val="-1"/>
        <w:w w:val="99"/>
        <w:sz w:val="20"/>
        <w:szCs w:val="20"/>
      </w:rPr>
    </w:lvl>
    <w:lvl w:ilvl="2" w:tplc="08109A4C">
      <w:numFmt w:val="bullet"/>
      <w:lvlText w:val="•"/>
      <w:lvlJc w:val="left"/>
      <w:pPr>
        <w:ind w:left="1816" w:hanging="360"/>
      </w:pPr>
      <w:rPr>
        <w:rFonts w:hint="default"/>
      </w:rPr>
    </w:lvl>
    <w:lvl w:ilvl="3" w:tplc="EDF6B6A2">
      <w:numFmt w:val="bullet"/>
      <w:lvlText w:val="•"/>
      <w:lvlJc w:val="left"/>
      <w:pPr>
        <w:ind w:left="2752" w:hanging="360"/>
      </w:pPr>
      <w:rPr>
        <w:rFonts w:hint="default"/>
      </w:rPr>
    </w:lvl>
    <w:lvl w:ilvl="4" w:tplc="DF0C5098">
      <w:numFmt w:val="bullet"/>
      <w:lvlText w:val="•"/>
      <w:lvlJc w:val="left"/>
      <w:pPr>
        <w:ind w:left="3688" w:hanging="360"/>
      </w:pPr>
      <w:rPr>
        <w:rFonts w:hint="default"/>
      </w:rPr>
    </w:lvl>
    <w:lvl w:ilvl="5" w:tplc="65587F80">
      <w:numFmt w:val="bullet"/>
      <w:lvlText w:val="•"/>
      <w:lvlJc w:val="left"/>
      <w:pPr>
        <w:ind w:left="4625" w:hanging="360"/>
      </w:pPr>
      <w:rPr>
        <w:rFonts w:hint="default"/>
      </w:rPr>
    </w:lvl>
    <w:lvl w:ilvl="6" w:tplc="D25830BA">
      <w:numFmt w:val="bullet"/>
      <w:lvlText w:val="•"/>
      <w:lvlJc w:val="left"/>
      <w:pPr>
        <w:ind w:left="5561" w:hanging="360"/>
      </w:pPr>
      <w:rPr>
        <w:rFonts w:hint="default"/>
      </w:rPr>
    </w:lvl>
    <w:lvl w:ilvl="7" w:tplc="A22AB40A">
      <w:numFmt w:val="bullet"/>
      <w:lvlText w:val="•"/>
      <w:lvlJc w:val="left"/>
      <w:pPr>
        <w:ind w:left="6497" w:hanging="360"/>
      </w:pPr>
      <w:rPr>
        <w:rFonts w:hint="default"/>
      </w:rPr>
    </w:lvl>
    <w:lvl w:ilvl="8" w:tplc="5FC6A942">
      <w:numFmt w:val="bullet"/>
      <w:lvlText w:val="•"/>
      <w:lvlJc w:val="left"/>
      <w:pPr>
        <w:ind w:left="7433" w:hanging="360"/>
      </w:pPr>
      <w:rPr>
        <w:rFonts w:hint="default"/>
      </w:rPr>
    </w:lvl>
  </w:abstractNum>
  <w:abstractNum w:abstractNumId="28" w15:restartNumberingAfterBreak="0">
    <w:nsid w:val="70DE38EC"/>
    <w:multiLevelType w:val="hybridMultilevel"/>
    <w:tmpl w:val="A5F8C324"/>
    <w:lvl w:ilvl="0" w:tplc="B0DC8BAA">
      <w:start w:val="1"/>
      <w:numFmt w:val="decimal"/>
      <w:lvlText w:val="(%1)"/>
      <w:lvlJc w:val="left"/>
      <w:pPr>
        <w:ind w:left="1080" w:hanging="720"/>
      </w:pPr>
      <w:rPr>
        <w:rFonts w:ascii="Arial" w:eastAsia="Arial" w:hAnsi="Arial" w:cs="Arial" w:hint="default"/>
        <w:b w:val="0"/>
        <w:bCs w:val="0"/>
        <w:i w:val="0"/>
        <w:iCs w:val="0"/>
        <w:w w:val="99"/>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2531A5A"/>
    <w:multiLevelType w:val="hybridMultilevel"/>
    <w:tmpl w:val="634E28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8C143E8"/>
    <w:multiLevelType w:val="hybridMultilevel"/>
    <w:tmpl w:val="CB8E8AA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DE63603"/>
    <w:multiLevelType w:val="hybridMultilevel"/>
    <w:tmpl w:val="8F6E1B3E"/>
    <w:lvl w:ilvl="0" w:tplc="B0647122">
      <w:numFmt w:val="bullet"/>
      <w:lvlText w:val="-"/>
      <w:lvlJc w:val="left"/>
      <w:pPr>
        <w:ind w:left="2160" w:hanging="360"/>
      </w:pPr>
      <w:rPr>
        <w:rFonts w:ascii="Calibri" w:eastAsiaTheme="minorHAnsi" w:hAnsi="Calibri" w:cs="Calibri"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num w:numId="1" w16cid:durableId="39332502">
    <w:abstractNumId w:val="5"/>
  </w:num>
  <w:num w:numId="2" w16cid:durableId="1897159923">
    <w:abstractNumId w:val="9"/>
  </w:num>
  <w:num w:numId="3" w16cid:durableId="1523322522">
    <w:abstractNumId w:val="2"/>
  </w:num>
  <w:num w:numId="4" w16cid:durableId="71245818">
    <w:abstractNumId w:val="19"/>
  </w:num>
  <w:num w:numId="5" w16cid:durableId="526528727">
    <w:abstractNumId w:val="23"/>
  </w:num>
  <w:num w:numId="6" w16cid:durableId="678898200">
    <w:abstractNumId w:val="1"/>
  </w:num>
  <w:num w:numId="7" w16cid:durableId="1763642542">
    <w:abstractNumId w:val="10"/>
  </w:num>
  <w:num w:numId="8" w16cid:durableId="430780231">
    <w:abstractNumId w:val="29"/>
  </w:num>
  <w:num w:numId="9" w16cid:durableId="1835220433">
    <w:abstractNumId w:val="11"/>
  </w:num>
  <w:num w:numId="10" w16cid:durableId="618344694">
    <w:abstractNumId w:val="4"/>
  </w:num>
  <w:num w:numId="11" w16cid:durableId="278417280">
    <w:abstractNumId w:val="13"/>
  </w:num>
  <w:num w:numId="12" w16cid:durableId="1797747803">
    <w:abstractNumId w:val="7"/>
  </w:num>
  <w:num w:numId="13" w16cid:durableId="1175729723">
    <w:abstractNumId w:val="12"/>
  </w:num>
  <w:num w:numId="14" w16cid:durableId="1492910847">
    <w:abstractNumId w:val="6"/>
  </w:num>
  <w:num w:numId="15" w16cid:durableId="377584373">
    <w:abstractNumId w:val="26"/>
  </w:num>
  <w:num w:numId="16" w16cid:durableId="45302135">
    <w:abstractNumId w:val="14"/>
  </w:num>
  <w:num w:numId="17" w16cid:durableId="32996476">
    <w:abstractNumId w:val="30"/>
  </w:num>
  <w:num w:numId="18" w16cid:durableId="1605066712">
    <w:abstractNumId w:val="18"/>
  </w:num>
  <w:num w:numId="19" w16cid:durableId="746538489">
    <w:abstractNumId w:val="20"/>
  </w:num>
  <w:num w:numId="20" w16cid:durableId="470950509">
    <w:abstractNumId w:val="27"/>
  </w:num>
  <w:num w:numId="21" w16cid:durableId="1758280503">
    <w:abstractNumId w:val="0"/>
  </w:num>
  <w:num w:numId="22" w16cid:durableId="1516774028">
    <w:abstractNumId w:val="8"/>
  </w:num>
  <w:num w:numId="23" w16cid:durableId="157575942">
    <w:abstractNumId w:val="31"/>
  </w:num>
  <w:num w:numId="24" w16cid:durableId="134029552">
    <w:abstractNumId w:val="16"/>
  </w:num>
  <w:num w:numId="25" w16cid:durableId="1595092331">
    <w:abstractNumId w:val="21"/>
  </w:num>
  <w:num w:numId="26" w16cid:durableId="471674672">
    <w:abstractNumId w:val="15"/>
  </w:num>
  <w:num w:numId="27" w16cid:durableId="377826629">
    <w:abstractNumId w:val="3"/>
  </w:num>
  <w:num w:numId="28" w16cid:durableId="1098523253">
    <w:abstractNumId w:val="22"/>
  </w:num>
  <w:num w:numId="29" w16cid:durableId="20908711">
    <w:abstractNumId w:val="28"/>
  </w:num>
  <w:num w:numId="30" w16cid:durableId="1891113087">
    <w:abstractNumId w:val="17"/>
  </w:num>
  <w:num w:numId="31" w16cid:durableId="636423445">
    <w:abstractNumId w:val="25"/>
  </w:num>
  <w:num w:numId="32" w16cid:durableId="727145123">
    <w:abstractNumId w:val="24"/>
  </w:num>
  <w:num w:numId="33" w16cid:durableId="1948534826">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A4"/>
    <w:rsid w:val="000057E5"/>
    <w:rsid w:val="00016B6B"/>
    <w:rsid w:val="0002188D"/>
    <w:rsid w:val="00044D26"/>
    <w:rsid w:val="000559C6"/>
    <w:rsid w:val="000574A9"/>
    <w:rsid w:val="00060D4F"/>
    <w:rsid w:val="00062C24"/>
    <w:rsid w:val="00067B3C"/>
    <w:rsid w:val="00073DDE"/>
    <w:rsid w:val="0007446D"/>
    <w:rsid w:val="00091F57"/>
    <w:rsid w:val="000A3DD8"/>
    <w:rsid w:val="000A5AA6"/>
    <w:rsid w:val="000B32D8"/>
    <w:rsid w:val="000C5923"/>
    <w:rsid w:val="000F33D5"/>
    <w:rsid w:val="000F71EF"/>
    <w:rsid w:val="0010109A"/>
    <w:rsid w:val="0010188C"/>
    <w:rsid w:val="0010605F"/>
    <w:rsid w:val="001161DB"/>
    <w:rsid w:val="001167E0"/>
    <w:rsid w:val="00117B01"/>
    <w:rsid w:val="001248B3"/>
    <w:rsid w:val="001344C1"/>
    <w:rsid w:val="00153CD9"/>
    <w:rsid w:val="00156BBC"/>
    <w:rsid w:val="001872AF"/>
    <w:rsid w:val="00190A18"/>
    <w:rsid w:val="001948E7"/>
    <w:rsid w:val="00197B1E"/>
    <w:rsid w:val="001A36D5"/>
    <w:rsid w:val="001B129E"/>
    <w:rsid w:val="001B31C8"/>
    <w:rsid w:val="001C51F8"/>
    <w:rsid w:val="0020118F"/>
    <w:rsid w:val="00205800"/>
    <w:rsid w:val="00207DB1"/>
    <w:rsid w:val="00213F80"/>
    <w:rsid w:val="00216E67"/>
    <w:rsid w:val="00236DFF"/>
    <w:rsid w:val="00243682"/>
    <w:rsid w:val="0024553C"/>
    <w:rsid w:val="00250B93"/>
    <w:rsid w:val="00251582"/>
    <w:rsid w:val="00251D5F"/>
    <w:rsid w:val="00263A12"/>
    <w:rsid w:val="00280243"/>
    <w:rsid w:val="00285A4E"/>
    <w:rsid w:val="002A26BA"/>
    <w:rsid w:val="002C0E81"/>
    <w:rsid w:val="002D5C70"/>
    <w:rsid w:val="002E14F4"/>
    <w:rsid w:val="002E47C6"/>
    <w:rsid w:val="002E727B"/>
    <w:rsid w:val="002F196F"/>
    <w:rsid w:val="002F61A0"/>
    <w:rsid w:val="003030B4"/>
    <w:rsid w:val="00312754"/>
    <w:rsid w:val="00325069"/>
    <w:rsid w:val="0033212C"/>
    <w:rsid w:val="003402DA"/>
    <w:rsid w:val="00341318"/>
    <w:rsid w:val="0036797F"/>
    <w:rsid w:val="00373B17"/>
    <w:rsid w:val="0037401C"/>
    <w:rsid w:val="003749D9"/>
    <w:rsid w:val="003775AE"/>
    <w:rsid w:val="003A7AA4"/>
    <w:rsid w:val="003B20A6"/>
    <w:rsid w:val="003C4272"/>
    <w:rsid w:val="003D2143"/>
    <w:rsid w:val="003D230A"/>
    <w:rsid w:val="003D5E44"/>
    <w:rsid w:val="003D6930"/>
    <w:rsid w:val="003E41DA"/>
    <w:rsid w:val="003E6AE0"/>
    <w:rsid w:val="00406A9A"/>
    <w:rsid w:val="004075B4"/>
    <w:rsid w:val="004156D3"/>
    <w:rsid w:val="00423B00"/>
    <w:rsid w:val="00432EF2"/>
    <w:rsid w:val="004612D9"/>
    <w:rsid w:val="00462ECF"/>
    <w:rsid w:val="004830C9"/>
    <w:rsid w:val="0048620E"/>
    <w:rsid w:val="00494968"/>
    <w:rsid w:val="004A40F7"/>
    <w:rsid w:val="004B2E95"/>
    <w:rsid w:val="004C3DE9"/>
    <w:rsid w:val="004D0F61"/>
    <w:rsid w:val="004D479D"/>
    <w:rsid w:val="004D6152"/>
    <w:rsid w:val="004E652C"/>
    <w:rsid w:val="00502F33"/>
    <w:rsid w:val="005179BA"/>
    <w:rsid w:val="00525E06"/>
    <w:rsid w:val="00536E3A"/>
    <w:rsid w:val="00542F8B"/>
    <w:rsid w:val="00543335"/>
    <w:rsid w:val="005476F7"/>
    <w:rsid w:val="00557EFB"/>
    <w:rsid w:val="005604E8"/>
    <w:rsid w:val="0057062B"/>
    <w:rsid w:val="005738E7"/>
    <w:rsid w:val="00590032"/>
    <w:rsid w:val="00591294"/>
    <w:rsid w:val="0059238C"/>
    <w:rsid w:val="005951E5"/>
    <w:rsid w:val="005B2B57"/>
    <w:rsid w:val="005B56FA"/>
    <w:rsid w:val="005C57D6"/>
    <w:rsid w:val="005C7BF1"/>
    <w:rsid w:val="005D0C84"/>
    <w:rsid w:val="005E4373"/>
    <w:rsid w:val="0060698E"/>
    <w:rsid w:val="00611C2E"/>
    <w:rsid w:val="006228BF"/>
    <w:rsid w:val="006341A8"/>
    <w:rsid w:val="00637312"/>
    <w:rsid w:val="00642762"/>
    <w:rsid w:val="00657959"/>
    <w:rsid w:val="00657DDC"/>
    <w:rsid w:val="006708B9"/>
    <w:rsid w:val="006715D3"/>
    <w:rsid w:val="006723D5"/>
    <w:rsid w:val="006B47E4"/>
    <w:rsid w:val="006B645A"/>
    <w:rsid w:val="006C28C5"/>
    <w:rsid w:val="006C3F11"/>
    <w:rsid w:val="006C79BC"/>
    <w:rsid w:val="006D7FBF"/>
    <w:rsid w:val="00720027"/>
    <w:rsid w:val="0072257E"/>
    <w:rsid w:val="0072530C"/>
    <w:rsid w:val="00741717"/>
    <w:rsid w:val="00771894"/>
    <w:rsid w:val="007752CA"/>
    <w:rsid w:val="007941BE"/>
    <w:rsid w:val="0079493A"/>
    <w:rsid w:val="007A0ABA"/>
    <w:rsid w:val="007B5C95"/>
    <w:rsid w:val="007C618E"/>
    <w:rsid w:val="007D1556"/>
    <w:rsid w:val="007E54DF"/>
    <w:rsid w:val="00812A92"/>
    <w:rsid w:val="0081714F"/>
    <w:rsid w:val="00817F3D"/>
    <w:rsid w:val="00822DEB"/>
    <w:rsid w:val="00851685"/>
    <w:rsid w:val="00853128"/>
    <w:rsid w:val="00861E5A"/>
    <w:rsid w:val="00865F92"/>
    <w:rsid w:val="00877F37"/>
    <w:rsid w:val="00884E05"/>
    <w:rsid w:val="008A5EB6"/>
    <w:rsid w:val="008C521D"/>
    <w:rsid w:val="008C7AAE"/>
    <w:rsid w:val="008D0520"/>
    <w:rsid w:val="008D1B64"/>
    <w:rsid w:val="008F3967"/>
    <w:rsid w:val="008F4CFE"/>
    <w:rsid w:val="00911BAA"/>
    <w:rsid w:val="00912563"/>
    <w:rsid w:val="009126F5"/>
    <w:rsid w:val="00914E7F"/>
    <w:rsid w:val="00914E8F"/>
    <w:rsid w:val="00921836"/>
    <w:rsid w:val="009221BC"/>
    <w:rsid w:val="009247E4"/>
    <w:rsid w:val="00927CC6"/>
    <w:rsid w:val="009331DF"/>
    <w:rsid w:val="00936D8E"/>
    <w:rsid w:val="00943A2B"/>
    <w:rsid w:val="00952863"/>
    <w:rsid w:val="00957D4E"/>
    <w:rsid w:val="009702FE"/>
    <w:rsid w:val="00977C63"/>
    <w:rsid w:val="00982931"/>
    <w:rsid w:val="00995121"/>
    <w:rsid w:val="00996600"/>
    <w:rsid w:val="00997958"/>
    <w:rsid w:val="009A7468"/>
    <w:rsid w:val="009B76F8"/>
    <w:rsid w:val="009C43A4"/>
    <w:rsid w:val="009C6546"/>
    <w:rsid w:val="009D0D08"/>
    <w:rsid w:val="009D222F"/>
    <w:rsid w:val="009D6C41"/>
    <w:rsid w:val="009E0A70"/>
    <w:rsid w:val="009E2263"/>
    <w:rsid w:val="009E580F"/>
    <w:rsid w:val="009F3CAC"/>
    <w:rsid w:val="009F4F8B"/>
    <w:rsid w:val="009F51DD"/>
    <w:rsid w:val="00A0078D"/>
    <w:rsid w:val="00A03392"/>
    <w:rsid w:val="00A13D80"/>
    <w:rsid w:val="00A14A8E"/>
    <w:rsid w:val="00A32EF8"/>
    <w:rsid w:val="00A372BB"/>
    <w:rsid w:val="00A539DC"/>
    <w:rsid w:val="00A6312E"/>
    <w:rsid w:val="00A65303"/>
    <w:rsid w:val="00A72E6D"/>
    <w:rsid w:val="00A778C3"/>
    <w:rsid w:val="00AB01C6"/>
    <w:rsid w:val="00AB66DF"/>
    <w:rsid w:val="00AC27EA"/>
    <w:rsid w:val="00AC31C3"/>
    <w:rsid w:val="00AD0001"/>
    <w:rsid w:val="00AD099A"/>
    <w:rsid w:val="00AF6DB3"/>
    <w:rsid w:val="00B00B48"/>
    <w:rsid w:val="00B01F45"/>
    <w:rsid w:val="00B1682E"/>
    <w:rsid w:val="00B35224"/>
    <w:rsid w:val="00B401F6"/>
    <w:rsid w:val="00B43CED"/>
    <w:rsid w:val="00B46D0C"/>
    <w:rsid w:val="00B561DC"/>
    <w:rsid w:val="00B77FD8"/>
    <w:rsid w:val="00BB7F4C"/>
    <w:rsid w:val="00BC3243"/>
    <w:rsid w:val="00BC5012"/>
    <w:rsid w:val="00BD7D27"/>
    <w:rsid w:val="00BF12F8"/>
    <w:rsid w:val="00BF1D76"/>
    <w:rsid w:val="00C0026D"/>
    <w:rsid w:val="00C056DC"/>
    <w:rsid w:val="00C23ED2"/>
    <w:rsid w:val="00C25335"/>
    <w:rsid w:val="00C41D43"/>
    <w:rsid w:val="00C53F22"/>
    <w:rsid w:val="00C54858"/>
    <w:rsid w:val="00C60A9A"/>
    <w:rsid w:val="00C64813"/>
    <w:rsid w:val="00C808A3"/>
    <w:rsid w:val="00C92E9D"/>
    <w:rsid w:val="00C94E6C"/>
    <w:rsid w:val="00CA1215"/>
    <w:rsid w:val="00CA2166"/>
    <w:rsid w:val="00CB3E5C"/>
    <w:rsid w:val="00CC56D4"/>
    <w:rsid w:val="00CD2305"/>
    <w:rsid w:val="00CF0B9B"/>
    <w:rsid w:val="00CF1188"/>
    <w:rsid w:val="00D14AF3"/>
    <w:rsid w:val="00D2490C"/>
    <w:rsid w:val="00D24A7B"/>
    <w:rsid w:val="00D32B26"/>
    <w:rsid w:val="00D338CF"/>
    <w:rsid w:val="00D4101F"/>
    <w:rsid w:val="00D62568"/>
    <w:rsid w:val="00D64B32"/>
    <w:rsid w:val="00D65F13"/>
    <w:rsid w:val="00D75183"/>
    <w:rsid w:val="00D75C6D"/>
    <w:rsid w:val="00D9240A"/>
    <w:rsid w:val="00D92A41"/>
    <w:rsid w:val="00D943F6"/>
    <w:rsid w:val="00DA02A8"/>
    <w:rsid w:val="00DA2F4C"/>
    <w:rsid w:val="00DA4D2B"/>
    <w:rsid w:val="00DC2117"/>
    <w:rsid w:val="00DD4CCC"/>
    <w:rsid w:val="00DD54B8"/>
    <w:rsid w:val="00DD634F"/>
    <w:rsid w:val="00E13065"/>
    <w:rsid w:val="00E2389B"/>
    <w:rsid w:val="00E30E16"/>
    <w:rsid w:val="00E357E6"/>
    <w:rsid w:val="00E37F72"/>
    <w:rsid w:val="00E42210"/>
    <w:rsid w:val="00E5057C"/>
    <w:rsid w:val="00E50E36"/>
    <w:rsid w:val="00E52125"/>
    <w:rsid w:val="00E66C89"/>
    <w:rsid w:val="00E74DD4"/>
    <w:rsid w:val="00EB033E"/>
    <w:rsid w:val="00EB44E3"/>
    <w:rsid w:val="00EB564D"/>
    <w:rsid w:val="00EB66D4"/>
    <w:rsid w:val="00EC3EB4"/>
    <w:rsid w:val="00ED1E17"/>
    <w:rsid w:val="00EE295A"/>
    <w:rsid w:val="00EE4097"/>
    <w:rsid w:val="00F01905"/>
    <w:rsid w:val="00F03787"/>
    <w:rsid w:val="00F062FE"/>
    <w:rsid w:val="00F069B7"/>
    <w:rsid w:val="00F22E73"/>
    <w:rsid w:val="00F232B7"/>
    <w:rsid w:val="00F266A7"/>
    <w:rsid w:val="00F27DE5"/>
    <w:rsid w:val="00F3553D"/>
    <w:rsid w:val="00F55661"/>
    <w:rsid w:val="00F663D4"/>
    <w:rsid w:val="00F66CEC"/>
    <w:rsid w:val="00F93904"/>
    <w:rsid w:val="00FA64C4"/>
    <w:rsid w:val="00FD6978"/>
    <w:rsid w:val="00FE398E"/>
    <w:rsid w:val="00FF735D"/>
    <w:rsid w:val="6BF8CF1B"/>
    <w:rsid w:val="6FD156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37762"/>
  <w15:chartTrackingRefBased/>
  <w15:docId w15:val="{251D4703-4DD5-4192-9FCA-6F08BFFE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63"/>
  </w:style>
  <w:style w:type="paragraph" w:styleId="Heading1">
    <w:name w:val="heading 1"/>
    <w:basedOn w:val="Normal"/>
    <w:next w:val="Normal"/>
    <w:link w:val="Heading1Char"/>
    <w:uiPriority w:val="9"/>
    <w:qFormat/>
    <w:rsid w:val="009C4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3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3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3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3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3A4"/>
    <w:rPr>
      <w:rFonts w:eastAsiaTheme="majorEastAsia" w:cstheme="majorBidi"/>
      <w:color w:val="272727" w:themeColor="text1" w:themeTint="D8"/>
    </w:rPr>
  </w:style>
  <w:style w:type="paragraph" w:styleId="Title">
    <w:name w:val="Title"/>
    <w:basedOn w:val="Normal"/>
    <w:next w:val="Normal"/>
    <w:link w:val="TitleChar"/>
    <w:uiPriority w:val="10"/>
    <w:qFormat/>
    <w:rsid w:val="009C4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3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3A4"/>
    <w:pPr>
      <w:spacing w:before="160"/>
      <w:jc w:val="center"/>
    </w:pPr>
    <w:rPr>
      <w:i/>
      <w:iCs/>
      <w:color w:val="404040" w:themeColor="text1" w:themeTint="BF"/>
    </w:rPr>
  </w:style>
  <w:style w:type="character" w:customStyle="1" w:styleId="QuoteChar">
    <w:name w:val="Quote Char"/>
    <w:basedOn w:val="DefaultParagraphFont"/>
    <w:link w:val="Quote"/>
    <w:uiPriority w:val="29"/>
    <w:rsid w:val="009C43A4"/>
    <w:rPr>
      <w:i/>
      <w:iCs/>
      <w:color w:val="404040" w:themeColor="text1" w:themeTint="BF"/>
    </w:rPr>
  </w:style>
  <w:style w:type="paragraph" w:styleId="ListParagraph">
    <w:name w:val="List Paragraph"/>
    <w:aliases w:val="REPORT Bullet,Lettre d'introduction,Resume Title,Citation List,Paragrafo elenco,List Paragraph1,1st level - Bullet List Paragraph,Paragraph,List Paragraph Red,lp1,Heading 12,heading 1,naslov 1,Naslov 12,Graf,En tête 1,Table/Figure Heading"/>
    <w:basedOn w:val="Normal"/>
    <w:link w:val="ListParagraphChar"/>
    <w:uiPriority w:val="34"/>
    <w:qFormat/>
    <w:rsid w:val="009C43A4"/>
    <w:pPr>
      <w:ind w:left="720"/>
      <w:contextualSpacing/>
    </w:pPr>
  </w:style>
  <w:style w:type="character" w:styleId="IntenseEmphasis">
    <w:name w:val="Intense Emphasis"/>
    <w:basedOn w:val="DefaultParagraphFont"/>
    <w:uiPriority w:val="21"/>
    <w:qFormat/>
    <w:rsid w:val="009C43A4"/>
    <w:rPr>
      <w:i/>
      <w:iCs/>
      <w:color w:val="0F4761" w:themeColor="accent1" w:themeShade="BF"/>
    </w:rPr>
  </w:style>
  <w:style w:type="paragraph" w:styleId="IntenseQuote">
    <w:name w:val="Intense Quote"/>
    <w:basedOn w:val="Normal"/>
    <w:next w:val="Normal"/>
    <w:link w:val="IntenseQuoteChar"/>
    <w:uiPriority w:val="30"/>
    <w:qFormat/>
    <w:rsid w:val="009C4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3A4"/>
    <w:rPr>
      <w:i/>
      <w:iCs/>
      <w:color w:val="0F4761" w:themeColor="accent1" w:themeShade="BF"/>
    </w:rPr>
  </w:style>
  <w:style w:type="character" w:styleId="IntenseReference">
    <w:name w:val="Intense Reference"/>
    <w:basedOn w:val="DefaultParagraphFont"/>
    <w:uiPriority w:val="32"/>
    <w:qFormat/>
    <w:rsid w:val="009C43A4"/>
    <w:rPr>
      <w:b/>
      <w:bCs/>
      <w:smallCaps/>
      <w:color w:val="0F4761" w:themeColor="accent1" w:themeShade="BF"/>
      <w:spacing w:val="5"/>
    </w:rPr>
  </w:style>
  <w:style w:type="paragraph" w:styleId="Header">
    <w:name w:val="header"/>
    <w:basedOn w:val="Normal"/>
    <w:link w:val="HeaderChar"/>
    <w:uiPriority w:val="99"/>
    <w:unhideWhenUsed/>
    <w:rsid w:val="009C43A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43A4"/>
  </w:style>
  <w:style w:type="paragraph" w:styleId="Footer">
    <w:name w:val="footer"/>
    <w:basedOn w:val="Normal"/>
    <w:link w:val="FooterChar"/>
    <w:uiPriority w:val="99"/>
    <w:unhideWhenUsed/>
    <w:rsid w:val="009C43A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43A4"/>
  </w:style>
  <w:style w:type="table" w:styleId="TableGrid">
    <w:name w:val="Table Grid"/>
    <w:basedOn w:val="TableNormal"/>
    <w:uiPriority w:val="39"/>
    <w:rsid w:val="007200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20027"/>
    <w:pPr>
      <w:spacing w:after="0" w:line="240" w:lineRule="auto"/>
    </w:pPr>
    <w:rPr>
      <w:sz w:val="20"/>
      <w:szCs w:val="20"/>
    </w:rPr>
  </w:style>
  <w:style w:type="character" w:customStyle="1" w:styleId="FootnoteTextChar">
    <w:name w:val="Footnote Text Char"/>
    <w:basedOn w:val="DefaultParagraphFont"/>
    <w:link w:val="FootnoteText"/>
    <w:uiPriority w:val="99"/>
    <w:rsid w:val="00720027"/>
    <w:rPr>
      <w:sz w:val="20"/>
      <w:szCs w:val="20"/>
    </w:rPr>
  </w:style>
  <w:style w:type="character" w:styleId="FootnoteReference">
    <w:name w:val="footnote reference"/>
    <w:basedOn w:val="DefaultParagraphFont"/>
    <w:uiPriority w:val="99"/>
    <w:unhideWhenUsed/>
    <w:rsid w:val="00720027"/>
    <w:rPr>
      <w:vertAlign w:val="superscript"/>
    </w:rPr>
  </w:style>
  <w:style w:type="character" w:styleId="Hyperlink">
    <w:name w:val="Hyperlink"/>
    <w:basedOn w:val="DefaultParagraphFont"/>
    <w:uiPriority w:val="99"/>
    <w:unhideWhenUsed/>
    <w:rsid w:val="00720027"/>
    <w:rPr>
      <w:color w:val="467886" w:themeColor="hyperlink"/>
      <w:u w:val="single"/>
    </w:rPr>
  </w:style>
  <w:style w:type="paragraph" w:styleId="CommentText">
    <w:name w:val="annotation text"/>
    <w:basedOn w:val="Normal"/>
    <w:link w:val="CommentTextChar"/>
    <w:uiPriority w:val="99"/>
    <w:unhideWhenUsed/>
    <w:rsid w:val="00720027"/>
    <w:pPr>
      <w:spacing w:after="0" w:line="240" w:lineRule="auto"/>
    </w:pPr>
    <w:rPr>
      <w:sz w:val="20"/>
      <w:szCs w:val="20"/>
    </w:rPr>
  </w:style>
  <w:style w:type="character" w:customStyle="1" w:styleId="CommentTextChar">
    <w:name w:val="Comment Text Char"/>
    <w:basedOn w:val="DefaultParagraphFont"/>
    <w:link w:val="CommentText"/>
    <w:uiPriority w:val="99"/>
    <w:rsid w:val="00720027"/>
    <w:rPr>
      <w:sz w:val="20"/>
      <w:szCs w:val="20"/>
    </w:rPr>
  </w:style>
  <w:style w:type="character" w:styleId="CommentReference">
    <w:name w:val="annotation reference"/>
    <w:basedOn w:val="DefaultParagraphFont"/>
    <w:uiPriority w:val="99"/>
    <w:unhideWhenUsed/>
    <w:rsid w:val="00720027"/>
    <w:rPr>
      <w:sz w:val="16"/>
      <w:szCs w:val="16"/>
    </w:rPr>
  </w:style>
  <w:style w:type="paragraph" w:customStyle="1" w:styleId="paragraph">
    <w:name w:val="paragraph"/>
    <w:basedOn w:val="Normal"/>
    <w:rsid w:val="00720027"/>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normaltextrun">
    <w:name w:val="normaltextrun"/>
    <w:basedOn w:val="DefaultParagraphFont"/>
    <w:rsid w:val="00720027"/>
  </w:style>
  <w:style w:type="character" w:customStyle="1" w:styleId="eop">
    <w:name w:val="eop"/>
    <w:basedOn w:val="DefaultParagraphFont"/>
    <w:rsid w:val="00720027"/>
  </w:style>
  <w:style w:type="character" w:styleId="UnresolvedMention">
    <w:name w:val="Unresolved Mention"/>
    <w:basedOn w:val="DefaultParagraphFont"/>
    <w:uiPriority w:val="99"/>
    <w:semiHidden/>
    <w:unhideWhenUsed/>
    <w:rsid w:val="004D479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E398E"/>
    <w:pPr>
      <w:spacing w:after="160"/>
    </w:pPr>
    <w:rPr>
      <w:b/>
      <w:bCs/>
    </w:rPr>
  </w:style>
  <w:style w:type="character" w:customStyle="1" w:styleId="CommentSubjectChar">
    <w:name w:val="Comment Subject Char"/>
    <w:basedOn w:val="CommentTextChar"/>
    <w:link w:val="CommentSubject"/>
    <w:uiPriority w:val="99"/>
    <w:semiHidden/>
    <w:rsid w:val="00FE398E"/>
    <w:rPr>
      <w:b/>
      <w:bCs/>
      <w:sz w:val="20"/>
      <w:szCs w:val="20"/>
    </w:rPr>
  </w:style>
  <w:style w:type="character" w:customStyle="1" w:styleId="ListParagraphChar">
    <w:name w:val="List Paragraph Char"/>
    <w:aliases w:val="REPORT Bullet Char,Lettre d'introduction Char,Resume Title Char,Citation List Char,Paragrafo elenco Char,List Paragraph1 Char,1st level - Bullet List Paragraph Char,Paragraph Char,List Paragraph Red Char,lp1 Char,Heading 12 Char"/>
    <w:basedOn w:val="DefaultParagraphFont"/>
    <w:link w:val="ListParagraph"/>
    <w:uiPriority w:val="34"/>
    <w:qFormat/>
    <w:locked/>
    <w:rsid w:val="00280243"/>
  </w:style>
  <w:style w:type="paragraph" w:styleId="Revision">
    <w:name w:val="Revision"/>
    <w:hidden/>
    <w:uiPriority w:val="99"/>
    <w:semiHidden/>
    <w:rsid w:val="00C23ED2"/>
    <w:pPr>
      <w:spacing w:after="0" w:line="240" w:lineRule="auto"/>
    </w:pPr>
  </w:style>
  <w:style w:type="character" w:styleId="Emphasis">
    <w:name w:val="Emphasis"/>
    <w:basedOn w:val="DefaultParagraphFont"/>
    <w:uiPriority w:val="20"/>
    <w:qFormat/>
    <w:rsid w:val="000574A9"/>
    <w:rPr>
      <w:i/>
      <w:iCs/>
    </w:rPr>
  </w:style>
  <w:style w:type="character" w:customStyle="1" w:styleId="cf01">
    <w:name w:val="cf01"/>
    <w:basedOn w:val="DefaultParagraphFont"/>
    <w:rsid w:val="000574A9"/>
    <w:rPr>
      <w:rFonts w:ascii="Segoe UI" w:hAnsi="Segoe UI" w:cs="Segoe UI" w:hint="default"/>
      <w:sz w:val="18"/>
      <w:szCs w:val="18"/>
    </w:rPr>
  </w:style>
  <w:style w:type="character" w:customStyle="1" w:styleId="ui-provider">
    <w:name w:val="ui-provider"/>
    <w:basedOn w:val="DefaultParagraphFont"/>
    <w:rsid w:val="004612D9"/>
  </w:style>
  <w:style w:type="paragraph" w:customStyle="1" w:styleId="Default">
    <w:name w:val="Default"/>
    <w:rsid w:val="00213F8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51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6178587719EE41AA94688377276BC9" ma:contentTypeVersion="12" ma:contentTypeDescription="Create a new document." ma:contentTypeScope="" ma:versionID="e5bc3801180fee178a42df4d474ef5c7">
  <xsd:schema xmlns:xsd="http://www.w3.org/2001/XMLSchema" xmlns:xs="http://www.w3.org/2001/XMLSchema" xmlns:p="http://schemas.microsoft.com/office/2006/metadata/properties" xmlns:ns2="5fe607d7-3375-41f0-bcab-35d9ba8522eb" targetNamespace="http://schemas.microsoft.com/office/2006/metadata/properties" ma:root="true" ma:fieldsID="4ee203e07195a751b90274f389027685" ns2:_="">
    <xsd:import namespace="5fe607d7-3375-41f0-bcab-35d9ba8522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607d7-3375-41f0-bcab-35d9ba8522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5D9CF-EE6F-4C09-972E-8C4A07B1A5C6}">
  <ds:schemaRefs>
    <ds:schemaRef ds:uri="http://schemas.microsoft.com/sharepoint/v3/contenttype/forms"/>
  </ds:schemaRefs>
</ds:datastoreItem>
</file>

<file path=customXml/itemProps2.xml><?xml version="1.0" encoding="utf-8"?>
<ds:datastoreItem xmlns:ds="http://schemas.openxmlformats.org/officeDocument/2006/customXml" ds:itemID="{DC1E3E3A-3D69-45A1-B40A-B8407F9DFD22}">
  <ds:schemaRefs>
    <ds:schemaRef ds:uri="http://schemas.openxmlformats.org/officeDocument/2006/bibliography"/>
  </ds:schemaRefs>
</ds:datastoreItem>
</file>

<file path=customXml/itemProps3.xml><?xml version="1.0" encoding="utf-8"?>
<ds:datastoreItem xmlns:ds="http://schemas.openxmlformats.org/officeDocument/2006/customXml" ds:itemID="{8A607673-7006-4DA8-A6FB-62B92B75A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607d7-3375-41f0-bcab-35d9ba8522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8E8C4-1A1A-4724-956D-6164CC006C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145</Words>
  <Characters>832</Characters>
  <Application>Microsoft Office Word</Application>
  <DocSecurity>0</DocSecurity>
  <Lines>6</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Riđički Ivana</dc:creator>
  <cp:keywords/>
  <dc:description/>
  <cp:lastModifiedBy>Ivana Riđički</cp:lastModifiedBy>
  <cp:revision>91</cp:revision>
  <cp:lastPrinted>2024-08-06T08:17:00Z</cp:lastPrinted>
  <dcterms:created xsi:type="dcterms:W3CDTF">2026-07-01T08:22:00Z</dcterms:created>
  <dcterms:modified xsi:type="dcterms:W3CDTF">2026-08-04T08:34:00Z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0x010100E56178587719EE41AA94688377276BC9</vt:lpwstr>
  </property>
  <property fmtid="{D5CDD505-2E9C-101B-9397-08002B2CF9AE}" pid="3" name="MediaServiceImageTags">
    <vt:lpwstr/>
  </property>
</Properties>
</file>